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 w:val="32"/>
          <w:szCs w:val="32"/>
        </w:rPr>
      </w:pPr>
    </w:p>
    <w:p>
      <w:pPr>
        <w:adjustRightInd w:val="0"/>
        <w:snapToGrid w:val="0"/>
        <w:rPr>
          <w:rFonts w:ascii="黑体" w:hAnsi="黑体" w:eastAsia="黑体"/>
          <w:sz w:val="32"/>
          <w:szCs w:val="32"/>
        </w:rPr>
      </w:pPr>
    </w:p>
    <w:p>
      <w:pPr>
        <w:adjustRightInd w:val="0"/>
        <w:snapToGrid w:val="0"/>
        <w:rPr>
          <w:rFonts w:ascii="黑体" w:hAnsi="黑体" w:eastAsia="黑体"/>
          <w:sz w:val="32"/>
          <w:szCs w:val="32"/>
        </w:rPr>
      </w:pPr>
    </w:p>
    <w:p>
      <w:pPr>
        <w:adjustRightInd w:val="0"/>
        <w:snapToGrid w:val="0"/>
        <w:rPr>
          <w:rFonts w:ascii="黑体" w:hAnsi="黑体" w:eastAsia="黑体"/>
          <w:sz w:val="32"/>
          <w:szCs w:val="32"/>
        </w:rPr>
      </w:pPr>
    </w:p>
    <w:p/>
    <w:p>
      <w:pPr>
        <w:jc w:val="center"/>
        <w:rPr>
          <w:rFonts w:ascii="方正小标宋简体" w:hAnsi="方正小标宋简体" w:eastAsia="方正小标宋简体" w:cs="方正小标宋简体"/>
          <w:bCs/>
          <w:color w:val="FF0000"/>
          <w:sz w:val="150"/>
          <w:szCs w:val="150"/>
        </w:rPr>
      </w:pPr>
      <w:r>
        <w:rPr>
          <w:rFonts w:hint="eastAsia" w:ascii="楷体" w:hAnsi="楷体" w:eastAsia="楷体" w:cs="楷体"/>
          <w:b/>
          <w:color w:val="FF0000"/>
          <w:sz w:val="150"/>
          <w:szCs w:val="150"/>
        </w:rPr>
        <w:t>深圳贸促</w:t>
      </w:r>
    </w:p>
    <w:p>
      <w:pPr>
        <w:spacing w:line="480" w:lineRule="auto"/>
        <w:jc w:val="center"/>
        <w:rPr>
          <w:color w:val="000000"/>
          <w:sz w:val="32"/>
          <w:szCs w:val="32"/>
        </w:rPr>
      </w:pPr>
      <w:r>
        <w:rPr>
          <w:rFonts w:hint="eastAsia" w:ascii="宋体" w:hAnsi="宋体" w:cs="宋体"/>
          <w:b/>
          <w:bCs/>
          <w:color w:val="000000"/>
          <w:sz w:val="32"/>
          <w:szCs w:val="32"/>
        </w:rPr>
        <w:t>20</w:t>
      </w:r>
      <w:r>
        <w:rPr>
          <w:rFonts w:ascii="宋体" w:hAnsi="宋体" w:cs="宋体"/>
          <w:b/>
          <w:bCs/>
          <w:color w:val="000000"/>
          <w:sz w:val="32"/>
          <w:szCs w:val="32"/>
        </w:rPr>
        <w:t>2</w:t>
      </w:r>
      <w:r>
        <w:rPr>
          <w:rFonts w:hint="eastAsia" w:ascii="宋体" w:hAnsi="宋体" w:cs="宋体"/>
          <w:b/>
          <w:bCs/>
          <w:color w:val="000000"/>
          <w:sz w:val="32"/>
          <w:szCs w:val="32"/>
          <w:lang w:val="en-US" w:eastAsia="zh-CN"/>
        </w:rPr>
        <w:t>3</w:t>
      </w:r>
      <w:r>
        <w:rPr>
          <w:rFonts w:hint="eastAsia" w:ascii="宋体" w:hAnsi="宋体" w:cs="宋体"/>
          <w:b/>
          <w:bCs/>
          <w:color w:val="000000"/>
          <w:sz w:val="32"/>
          <w:szCs w:val="32"/>
        </w:rPr>
        <w:t>年</w:t>
      </w:r>
      <w:r>
        <w:rPr>
          <w:rFonts w:hint="eastAsia" w:ascii="宋体" w:hAnsi="宋体" w:cs="宋体"/>
          <w:b/>
          <w:bCs/>
          <w:color w:val="000000"/>
          <w:sz w:val="32"/>
          <w:szCs w:val="32"/>
          <w:lang w:val="en-US" w:eastAsia="zh-CN"/>
        </w:rPr>
        <w:t>1</w:t>
      </w:r>
      <w:r>
        <w:rPr>
          <w:rFonts w:hint="eastAsia" w:ascii="宋体" w:hAnsi="宋体" w:cs="宋体"/>
          <w:b/>
          <w:bCs/>
          <w:color w:val="000000"/>
          <w:sz w:val="32"/>
          <w:szCs w:val="32"/>
        </w:rPr>
        <w:t>月刊（总第</w:t>
      </w:r>
      <w:r>
        <w:rPr>
          <w:rFonts w:hint="eastAsia" w:ascii="宋体" w:hAnsi="宋体" w:cs="宋体"/>
          <w:b/>
          <w:bCs/>
          <w:color w:val="000000"/>
          <w:sz w:val="32"/>
          <w:szCs w:val="32"/>
          <w:lang w:val="en-US" w:eastAsia="zh-CN"/>
        </w:rPr>
        <w:t>76</w:t>
      </w:r>
      <w:r>
        <w:rPr>
          <w:rFonts w:hint="eastAsia" w:ascii="宋体" w:hAnsi="宋体" w:cs="宋体"/>
          <w:b/>
          <w:bCs/>
          <w:color w:val="000000"/>
          <w:sz w:val="32"/>
          <w:szCs w:val="32"/>
        </w:rPr>
        <w:t>期）</w:t>
      </w:r>
    </w:p>
    <w:p>
      <w:pPr>
        <w:adjustRightInd w:val="0"/>
        <w:snapToGrid w:val="0"/>
        <w:jc w:val="center"/>
        <w:rPr>
          <w:color w:val="000000"/>
          <w:sz w:val="32"/>
          <w:szCs w:val="32"/>
        </w:rPr>
      </w:pPr>
    </w:p>
    <w:p>
      <w:pPr>
        <w:adjustRightInd w:val="0"/>
        <w:snapToGrid w:val="0"/>
        <w:ind w:left="105" w:leftChars="50"/>
        <w:jc w:val="left"/>
        <w:rPr>
          <w:rFonts w:ascii="楷体" w:hAnsi="楷体" w:eastAsia="楷体"/>
          <w:color w:val="000000"/>
          <w:sz w:val="32"/>
          <w:szCs w:val="32"/>
          <w:highlight w:val="none"/>
        </w:rPr>
      </w:pPr>
      <w:r>
        <w:rPr>
          <w:rFonts w:hint="eastAsia" w:ascii="楷体" w:hAnsi="楷体" w:eastAsia="楷体"/>
          <w:color w:val="000000"/>
          <w:spacing w:val="-50"/>
          <w:kern w:val="32"/>
          <w:sz w:val="32"/>
          <w:szCs w:val="32"/>
        </w:rPr>
        <w:t xml:space="preserve">中国国际贸易促进委员会深圳市委员会   </w:t>
      </w:r>
      <w:r>
        <w:rPr>
          <w:rFonts w:hint="eastAsia" w:ascii="楷体" w:hAnsi="楷体" w:eastAsia="楷体"/>
          <w:color w:val="000000"/>
          <w:spacing w:val="-50"/>
          <w:kern w:val="32"/>
          <w:sz w:val="32"/>
          <w:szCs w:val="32"/>
          <w:lang w:val="en-US" w:eastAsia="zh-CN"/>
        </w:rPr>
        <w:t xml:space="preserve">              </w:t>
      </w:r>
      <w:r>
        <w:rPr>
          <w:rFonts w:hint="eastAsia" w:ascii="楷体" w:hAnsi="楷体" w:eastAsia="楷体"/>
          <w:color w:val="000000"/>
          <w:spacing w:val="-20"/>
          <w:kern w:val="32"/>
          <w:sz w:val="32"/>
          <w:szCs w:val="32"/>
        </w:rPr>
        <w:t>20</w:t>
      </w:r>
      <w:r>
        <w:rPr>
          <w:rFonts w:ascii="楷体" w:hAnsi="楷体" w:eastAsia="楷体"/>
          <w:color w:val="000000"/>
          <w:spacing w:val="-20"/>
          <w:kern w:val="32"/>
          <w:sz w:val="32"/>
          <w:szCs w:val="32"/>
        </w:rPr>
        <w:t>2</w:t>
      </w:r>
      <w:r>
        <w:rPr>
          <w:rFonts w:hint="eastAsia" w:ascii="楷体" w:hAnsi="楷体" w:eastAsia="楷体"/>
          <w:color w:val="000000"/>
          <w:spacing w:val="-20"/>
          <w:kern w:val="32"/>
          <w:sz w:val="32"/>
          <w:szCs w:val="32"/>
          <w:lang w:val="en-US" w:eastAsia="zh-CN"/>
        </w:rPr>
        <w:t>3</w:t>
      </w:r>
      <w:r>
        <w:rPr>
          <w:rFonts w:hint="eastAsia" w:ascii="楷体" w:hAnsi="楷体" w:eastAsia="楷体"/>
          <w:color w:val="000000"/>
          <w:spacing w:val="-20"/>
          <w:kern w:val="32"/>
          <w:sz w:val="32"/>
          <w:szCs w:val="32"/>
        </w:rPr>
        <w:t>年</w:t>
      </w:r>
      <w:r>
        <w:rPr>
          <w:rFonts w:hint="eastAsia" w:ascii="楷体" w:hAnsi="楷体" w:eastAsia="楷体"/>
          <w:color w:val="000000"/>
          <w:spacing w:val="-20"/>
          <w:kern w:val="32"/>
          <w:sz w:val="32"/>
          <w:szCs w:val="32"/>
          <w:lang w:val="en-US" w:eastAsia="zh-CN"/>
        </w:rPr>
        <w:t>1</w:t>
      </w:r>
      <w:r>
        <w:rPr>
          <w:rFonts w:hint="eastAsia" w:ascii="楷体" w:hAnsi="楷体" w:eastAsia="楷体"/>
          <w:color w:val="000000"/>
          <w:spacing w:val="-20"/>
          <w:kern w:val="32"/>
          <w:sz w:val="32"/>
          <w:szCs w:val="32"/>
        </w:rPr>
        <w:t>月</w:t>
      </w:r>
      <w:r>
        <w:rPr>
          <w:rFonts w:hint="eastAsia" w:ascii="楷体" w:hAnsi="楷体" w:eastAsia="楷体"/>
          <w:color w:val="000000"/>
          <w:spacing w:val="-20"/>
          <w:kern w:val="32"/>
          <w:sz w:val="32"/>
          <w:szCs w:val="32"/>
          <w:lang w:val="en-US" w:eastAsia="zh-CN"/>
        </w:rPr>
        <w:t>28</w:t>
      </w:r>
      <w:r>
        <w:rPr>
          <w:rFonts w:hint="eastAsia" w:ascii="楷体" w:hAnsi="楷体" w:eastAsia="楷体"/>
          <w:color w:val="000000"/>
          <w:spacing w:val="-20"/>
          <w:kern w:val="32"/>
          <w:sz w:val="32"/>
          <w:szCs w:val="32"/>
          <w:highlight w:val="none"/>
        </w:rPr>
        <w:t>日</w:t>
      </w:r>
    </w:p>
    <w:p>
      <w:pPr>
        <w:spacing w:line="400" w:lineRule="exact"/>
        <w:jc w:val="left"/>
        <w:rPr>
          <w:color w:val="000000"/>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37465</wp:posOffset>
                </wp:positionV>
                <wp:extent cx="5601970" cy="0"/>
                <wp:effectExtent l="0" t="9525" r="17780" b="9525"/>
                <wp:wrapNone/>
                <wp:docPr id="1" name="连接线1"/>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9050">
                          <a:solidFill>
                            <a:srgbClr val="FF0000"/>
                          </a:solidFill>
                          <a:round/>
                        </a:ln>
                        <a:effectLst/>
                      </wps:spPr>
                      <wps:bodyPr/>
                    </wps:wsp>
                  </a:graphicData>
                </a:graphic>
              </wp:anchor>
            </w:drawing>
          </mc:Choice>
          <mc:Fallback>
            <w:pict>
              <v:shape id="连接线1" o:spid="_x0000_s1026" o:spt="32" type="#_x0000_t32" style="position:absolute;left:0pt;margin-left:1.65pt;margin-top:2.95pt;height:0pt;width:441.1pt;z-index:251659264;mso-width-relative:page;mso-height-relative:page;" filled="f" stroked="t" coordsize="21600,21600" o:gfxdata="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aSh8bT&#10;AAAABQEAAA8AAAAAAAAAAQAgAAAAIgAAAGRycy9kb3ducmV2LnhtbFBLAQIUABQAAAAIAIdO4kDC&#10;vGHt7AEAAMADAAAOAAAAAAAAAAEAIAAAACIBAABkcnMvZTJvRG9jLnhtbFBLBQYAAAAABgAGAFkB&#10;AACABQAAAAA=&#10;">
                <v:fill on="f" focussize="0,0"/>
                <v:stroke weight="1.5pt" color="#FF0000" joinstyle="round"/>
                <v:imagedata o:title=""/>
                <o:lock v:ext="edit" aspectratio="f"/>
              </v:shape>
            </w:pict>
          </mc:Fallback>
        </mc:AlternateContent>
      </w:r>
    </w:p>
    <w:p>
      <w:pPr>
        <w:spacing w:line="480" w:lineRule="exact"/>
        <w:jc w:val="left"/>
        <w:rPr>
          <w:rFonts w:ascii="黑体" w:hAnsi="黑体" w:eastAsia="黑体"/>
          <w:bCs/>
          <w:color w:val="000000"/>
          <w:kern w:val="2"/>
          <w:sz w:val="32"/>
          <w:szCs w:val="32"/>
        </w:rPr>
      </w:pPr>
      <w:r>
        <w:rPr>
          <w:rFonts w:hint="eastAsia" w:ascii="黑体" w:hAnsi="黑体" w:eastAsia="黑体"/>
          <w:bCs/>
          <w:color w:val="000000"/>
          <w:kern w:val="2"/>
          <w:sz w:val="32"/>
          <w:szCs w:val="32"/>
        </w:rPr>
        <w:t>【</w:t>
      </w:r>
      <w:r>
        <w:rPr>
          <w:rFonts w:hint="eastAsia" w:ascii="黑体" w:hAnsi="黑体" w:eastAsia="黑体"/>
          <w:bCs/>
          <w:color w:val="000000"/>
          <w:kern w:val="2"/>
          <w:sz w:val="32"/>
          <w:szCs w:val="32"/>
          <w:lang w:eastAsia="zh-CN"/>
        </w:rPr>
        <w:t>贸促</w:t>
      </w:r>
      <w:r>
        <w:rPr>
          <w:rFonts w:hint="eastAsia" w:ascii="黑体" w:hAnsi="黑体" w:eastAsia="黑体"/>
          <w:bCs/>
          <w:color w:val="000000"/>
          <w:kern w:val="2"/>
          <w:sz w:val="32"/>
          <w:szCs w:val="32"/>
        </w:rPr>
        <w:t>专题研究】</w:t>
      </w:r>
    </w:p>
    <w:p>
      <w:pPr>
        <w:tabs>
          <w:tab w:val="right" w:leader="dot" w:pos="8715"/>
        </w:tabs>
        <w:spacing w:line="480" w:lineRule="exact"/>
        <w:ind w:left="875" w:leftChars="270" w:hanging="308" w:hangingChars="110"/>
        <w:rPr>
          <w:rFonts w:hint="default" w:ascii="楷体" w:hAnsi="楷体" w:eastAsia="楷体" w:cs="Arial"/>
          <w:color w:val="000000"/>
          <w:kern w:val="2"/>
          <w:sz w:val="28"/>
          <w:szCs w:val="28"/>
          <w:lang w:val="en-US" w:eastAsia="zh-CN"/>
        </w:rPr>
      </w:pPr>
      <w:r>
        <w:rPr>
          <w:rFonts w:hint="eastAsia" w:ascii="楷体" w:hAnsi="楷体" w:eastAsia="楷体"/>
          <w:color w:val="000000"/>
          <w:kern w:val="2"/>
          <w:sz w:val="28"/>
          <w:szCs w:val="28"/>
        </w:rPr>
        <w:t>●</w:t>
      </w:r>
      <w:r>
        <w:rPr>
          <w:rFonts w:ascii="楷体" w:hAnsi="楷体" w:eastAsia="楷体" w:cs="Arial"/>
          <w:color w:val="000000"/>
          <w:kern w:val="2"/>
          <w:sz w:val="28"/>
          <w:szCs w:val="28"/>
        </w:rPr>
        <w:tab/>
      </w:r>
      <w:r>
        <w:rPr>
          <w:rFonts w:hint="eastAsia" w:ascii="楷体" w:hAnsi="楷体" w:eastAsia="楷体"/>
          <w:color w:val="000000"/>
          <w:kern w:val="2"/>
          <w:sz w:val="28"/>
          <w:szCs w:val="28"/>
          <w:lang w:eastAsia="zh-CN"/>
        </w:rPr>
        <w:t>从商</w:t>
      </w:r>
      <w:r>
        <w:rPr>
          <w:rFonts w:hint="eastAsia" w:ascii="楷体" w:hAnsi="楷体" w:eastAsia="楷体"/>
          <w:color w:val="000000"/>
          <w:spacing w:val="-6"/>
          <w:kern w:val="2"/>
          <w:sz w:val="28"/>
          <w:szCs w:val="28"/>
          <w:lang w:eastAsia="zh-CN"/>
        </w:rPr>
        <w:t>事认证数据看我市货物贸易出口情况</w:t>
      </w:r>
      <w:r>
        <w:rPr>
          <w:rFonts w:hint="eastAsia" w:ascii="楷体" w:hAnsi="楷体" w:eastAsia="楷体"/>
          <w:color w:val="000000"/>
          <w:kern w:val="2"/>
          <w:sz w:val="28"/>
          <w:szCs w:val="28"/>
          <w:lang w:eastAsia="zh-CN"/>
        </w:rPr>
        <w:t>（</w:t>
      </w:r>
      <w:r>
        <w:rPr>
          <w:rFonts w:hint="eastAsia" w:ascii="楷体" w:hAnsi="楷体" w:eastAsia="楷体"/>
          <w:color w:val="000000"/>
          <w:kern w:val="2"/>
          <w:sz w:val="28"/>
          <w:szCs w:val="28"/>
          <w:lang w:val="en-US" w:eastAsia="zh-CN"/>
        </w:rPr>
        <w:t>何智辉  陈书鸣</w:t>
      </w:r>
      <w:r>
        <w:rPr>
          <w:rFonts w:hint="eastAsia" w:ascii="楷体" w:hAnsi="楷体" w:eastAsia="楷体"/>
          <w:color w:val="000000"/>
          <w:kern w:val="2"/>
          <w:sz w:val="28"/>
          <w:szCs w:val="28"/>
          <w:lang w:eastAsia="zh-CN"/>
        </w:rPr>
        <w:t>）</w:t>
      </w:r>
      <w:r>
        <w:rPr>
          <w:rFonts w:hint="eastAsia" w:ascii="楷体" w:hAnsi="楷体" w:eastAsia="楷体" w:cs="Arial"/>
          <w:color w:val="000000"/>
          <w:kern w:val="2"/>
          <w:sz w:val="28"/>
          <w:szCs w:val="28"/>
          <w:lang w:eastAsia="zh-CN"/>
        </w:rPr>
        <w:tab/>
      </w:r>
      <w:r>
        <w:rPr>
          <w:rFonts w:hint="eastAsia" w:ascii="楷体" w:hAnsi="楷体" w:eastAsia="楷体" w:cs="Arial"/>
          <w:color w:val="000000"/>
          <w:kern w:val="2"/>
          <w:sz w:val="28"/>
          <w:szCs w:val="28"/>
          <w:lang w:val="en-US" w:eastAsia="zh-CN"/>
        </w:rPr>
        <w:t>1</w:t>
      </w:r>
    </w:p>
    <w:p>
      <w:pPr>
        <w:tabs>
          <w:tab w:val="right" w:leader="dot" w:pos="8715"/>
        </w:tabs>
        <w:spacing w:line="480" w:lineRule="exact"/>
        <w:ind w:left="875" w:leftChars="270" w:hanging="308" w:hangingChars="110"/>
        <w:rPr>
          <w:rFonts w:hint="default" w:ascii="楷体" w:hAnsi="楷体" w:eastAsia="楷体" w:cs="Arial"/>
          <w:color w:val="000000"/>
          <w:kern w:val="2"/>
          <w:sz w:val="28"/>
          <w:szCs w:val="28"/>
          <w:lang w:val="en-US" w:eastAsia="zh-CN"/>
        </w:rPr>
      </w:pPr>
      <w:r>
        <w:rPr>
          <w:rFonts w:hint="eastAsia" w:ascii="楷体" w:hAnsi="楷体" w:eastAsia="楷体"/>
          <w:color w:val="000000"/>
          <w:kern w:val="2"/>
          <w:sz w:val="28"/>
          <w:szCs w:val="28"/>
        </w:rPr>
        <w:t>●</w:t>
      </w:r>
      <w:r>
        <w:rPr>
          <w:rFonts w:hint="eastAsia" w:ascii="楷体" w:hAnsi="楷体" w:eastAsia="楷体" w:cs="Arial"/>
          <w:color w:val="000000"/>
          <w:kern w:val="2"/>
          <w:sz w:val="28"/>
          <w:szCs w:val="28"/>
          <w:lang w:eastAsia="zh-CN"/>
        </w:rPr>
        <w:t>数字经济将成文化贸易新发力点</w:t>
      </w:r>
      <w:r>
        <w:rPr>
          <w:rFonts w:hint="eastAsia" w:ascii="楷体" w:hAnsi="楷体" w:eastAsia="楷体"/>
          <w:color w:val="000000"/>
          <w:kern w:val="2"/>
          <w:sz w:val="28"/>
          <w:szCs w:val="28"/>
          <w:lang w:eastAsia="zh-CN"/>
        </w:rPr>
        <w:t>（姚逸）</w:t>
      </w:r>
      <w:r>
        <w:rPr>
          <w:rFonts w:hint="eastAsia" w:ascii="楷体" w:hAnsi="楷体" w:eastAsia="楷体" w:cs="Arial"/>
          <w:color w:val="000000"/>
          <w:kern w:val="2"/>
          <w:sz w:val="28"/>
          <w:szCs w:val="28"/>
          <w:lang w:eastAsia="zh-CN"/>
        </w:rPr>
        <w:tab/>
      </w:r>
      <w:r>
        <w:rPr>
          <w:rFonts w:hint="eastAsia" w:ascii="楷体" w:hAnsi="楷体" w:eastAsia="楷体" w:cs="Arial"/>
          <w:color w:val="000000"/>
          <w:kern w:val="2"/>
          <w:sz w:val="28"/>
          <w:szCs w:val="28"/>
          <w:lang w:val="en-US" w:eastAsia="zh-CN"/>
        </w:rPr>
        <w:t>4</w:t>
      </w:r>
    </w:p>
    <w:p>
      <w:pPr>
        <w:tabs>
          <w:tab w:val="right" w:leader="dot" w:pos="8715"/>
        </w:tabs>
        <w:spacing w:line="480" w:lineRule="exact"/>
        <w:ind w:left="875" w:leftChars="270" w:hanging="308" w:hangingChars="110"/>
        <w:rPr>
          <w:rFonts w:hint="default" w:ascii="楷体" w:hAnsi="楷体" w:eastAsia="楷体" w:cs="Arial"/>
          <w:color w:val="000000"/>
          <w:kern w:val="2"/>
          <w:sz w:val="28"/>
          <w:szCs w:val="28"/>
          <w:lang w:val="en-US" w:eastAsia="zh-CN"/>
        </w:rPr>
      </w:pPr>
      <w:r>
        <w:rPr>
          <w:rFonts w:hint="eastAsia" w:ascii="楷体" w:hAnsi="楷体" w:eastAsia="楷体"/>
          <w:color w:val="000000"/>
          <w:kern w:val="2"/>
          <w:sz w:val="28"/>
          <w:szCs w:val="28"/>
        </w:rPr>
        <w:t>●</w:t>
      </w:r>
      <w:r>
        <w:rPr>
          <w:rFonts w:hint="eastAsia" w:ascii="楷体" w:hAnsi="楷体" w:eastAsia="楷体"/>
          <w:color w:val="000000"/>
          <w:kern w:val="2"/>
          <w:sz w:val="28"/>
          <w:szCs w:val="28"/>
          <w:lang w:eastAsia="zh-CN"/>
        </w:rPr>
        <w:t>中国企业“走出去”的痛点和应对建议（高文杰）</w:t>
      </w:r>
      <w:r>
        <w:rPr>
          <w:rFonts w:hint="eastAsia" w:ascii="楷体" w:hAnsi="楷体" w:eastAsia="楷体" w:cs="Arial"/>
          <w:color w:val="000000"/>
          <w:kern w:val="2"/>
          <w:sz w:val="28"/>
          <w:szCs w:val="28"/>
          <w:lang w:eastAsia="zh-CN"/>
        </w:rPr>
        <w:tab/>
      </w:r>
      <w:r>
        <w:rPr>
          <w:rFonts w:hint="eastAsia" w:ascii="楷体" w:hAnsi="楷体" w:eastAsia="楷体" w:cs="Arial"/>
          <w:color w:val="000000"/>
          <w:kern w:val="2"/>
          <w:sz w:val="28"/>
          <w:szCs w:val="28"/>
          <w:lang w:val="en-US" w:eastAsia="zh-CN"/>
        </w:rPr>
        <w:t>6</w:t>
      </w:r>
    </w:p>
    <w:p>
      <w:pPr>
        <w:spacing w:line="480" w:lineRule="exact"/>
        <w:jc w:val="left"/>
        <w:rPr>
          <w:rFonts w:ascii="黑体" w:hAnsi="黑体" w:eastAsia="黑体"/>
          <w:bCs/>
          <w:color w:val="000000"/>
          <w:kern w:val="2"/>
          <w:sz w:val="32"/>
          <w:szCs w:val="32"/>
        </w:rPr>
      </w:pPr>
      <w:r>
        <w:rPr>
          <w:rFonts w:hint="eastAsia" w:ascii="黑体" w:hAnsi="黑体" w:eastAsia="黑体"/>
          <w:bCs/>
          <w:color w:val="000000"/>
          <w:kern w:val="2"/>
          <w:sz w:val="32"/>
          <w:szCs w:val="32"/>
        </w:rPr>
        <w:t>【国际国内评述】</w:t>
      </w:r>
    </w:p>
    <w:p>
      <w:pPr>
        <w:tabs>
          <w:tab w:val="right" w:leader="dot" w:pos="8715"/>
        </w:tabs>
        <w:spacing w:line="480" w:lineRule="exact"/>
        <w:ind w:left="875" w:leftChars="270" w:hanging="308" w:hangingChars="110"/>
        <w:rPr>
          <w:rFonts w:hint="default" w:ascii="楷体" w:hAnsi="楷体" w:eastAsia="楷体" w:cs="Arial"/>
          <w:color w:val="000000"/>
          <w:kern w:val="2"/>
          <w:sz w:val="28"/>
          <w:szCs w:val="28"/>
          <w:lang w:val="en-US" w:eastAsia="zh-CN"/>
        </w:rPr>
      </w:pPr>
      <w:r>
        <w:rPr>
          <w:rFonts w:hint="eastAsia" w:ascii="楷体" w:hAnsi="楷体" w:eastAsia="楷体"/>
          <w:color w:val="000000"/>
          <w:kern w:val="2"/>
          <w:sz w:val="28"/>
          <w:szCs w:val="28"/>
        </w:rPr>
        <w:t>●</w:t>
      </w:r>
      <w:r>
        <w:rPr>
          <w:rFonts w:hint="eastAsia" w:ascii="楷体" w:hAnsi="楷体" w:eastAsia="楷体" w:cs="Times New Roman"/>
          <w:b w:val="0"/>
          <w:bCs w:val="0"/>
          <w:color w:val="000000"/>
          <w:kern w:val="2"/>
          <w:sz w:val="28"/>
          <w:szCs w:val="28"/>
          <w:lang w:val="en-US" w:eastAsia="zh-CN" w:bidi="ar-SA"/>
        </w:rPr>
        <w:t>深港能否携手冲刺全球金融中心“第三极”</w:t>
      </w:r>
      <w:r>
        <w:rPr>
          <w:rFonts w:hint="eastAsia" w:ascii="楷体" w:hAnsi="楷体" w:eastAsia="楷体" w:cs="Arial"/>
          <w:color w:val="000000"/>
          <w:kern w:val="2"/>
          <w:sz w:val="28"/>
          <w:szCs w:val="28"/>
          <w:lang w:eastAsia="zh-CN"/>
        </w:rPr>
        <w:tab/>
      </w:r>
      <w:r>
        <w:rPr>
          <w:rFonts w:hint="eastAsia" w:ascii="楷体" w:hAnsi="楷体" w:eastAsia="楷体" w:cs="Arial"/>
          <w:color w:val="000000"/>
          <w:kern w:val="2"/>
          <w:sz w:val="28"/>
          <w:szCs w:val="28"/>
          <w:lang w:val="en-US" w:eastAsia="zh-CN"/>
        </w:rPr>
        <w:t>12</w:t>
      </w:r>
    </w:p>
    <w:p>
      <w:pPr>
        <w:tabs>
          <w:tab w:val="right" w:leader="dot" w:pos="8715"/>
        </w:tabs>
        <w:spacing w:line="480" w:lineRule="exact"/>
        <w:ind w:left="875" w:leftChars="270" w:hanging="308" w:hangingChars="110"/>
        <w:rPr>
          <w:rFonts w:hint="default" w:ascii="楷体" w:hAnsi="楷体" w:eastAsia="楷体" w:cs="Arial"/>
          <w:color w:val="000000"/>
          <w:kern w:val="2"/>
          <w:sz w:val="28"/>
          <w:szCs w:val="28"/>
          <w:lang w:val="en-US" w:eastAsia="zh-CN"/>
        </w:rPr>
      </w:pPr>
      <w:r>
        <w:rPr>
          <w:rFonts w:hint="eastAsia" w:ascii="楷体" w:hAnsi="楷体" w:eastAsia="楷体"/>
          <w:color w:val="000000"/>
          <w:kern w:val="2"/>
          <w:sz w:val="28"/>
          <w:szCs w:val="28"/>
        </w:rPr>
        <w:t>●</w:t>
      </w:r>
      <w:r>
        <w:rPr>
          <w:rFonts w:hint="eastAsia" w:ascii="楷体" w:hAnsi="楷体" w:eastAsia="楷体"/>
          <w:color w:val="000000"/>
          <w:kern w:val="2"/>
          <w:sz w:val="28"/>
          <w:szCs w:val="28"/>
          <w:lang w:eastAsia="zh-CN"/>
        </w:rPr>
        <w:t>亟须帮助跨境电商中小企业渡过“合规</w:t>
      </w:r>
      <w:r>
        <w:rPr>
          <w:rFonts w:hint="eastAsia" w:ascii="楷体" w:hAnsi="楷体" w:eastAsia="楷体" w:cs="Times New Roman"/>
          <w:color w:val="000000"/>
          <w:kern w:val="2"/>
          <w:sz w:val="28"/>
          <w:szCs w:val="28"/>
          <w:lang w:eastAsia="zh-CN"/>
        </w:rPr>
        <w:t>关”（</w:t>
      </w:r>
      <w:r>
        <w:rPr>
          <w:rFonts w:hint="eastAsia" w:ascii="楷体" w:hAnsi="楷体" w:eastAsia="楷体" w:cs="Times New Roman"/>
          <w:color w:val="000000"/>
          <w:kern w:val="2"/>
          <w:sz w:val="28"/>
          <w:szCs w:val="28"/>
          <w:lang w:val="en-US" w:eastAsia="zh-CN"/>
        </w:rPr>
        <w:t>宗芳宇  等</w:t>
      </w:r>
      <w:r>
        <w:rPr>
          <w:rFonts w:hint="eastAsia" w:ascii="楷体" w:hAnsi="楷体" w:eastAsia="楷体" w:cs="Times New Roman"/>
          <w:color w:val="000000"/>
          <w:kern w:val="2"/>
          <w:sz w:val="28"/>
          <w:szCs w:val="28"/>
          <w:lang w:eastAsia="zh-CN"/>
        </w:rPr>
        <w:t>）</w:t>
      </w:r>
      <w:r>
        <w:rPr>
          <w:rFonts w:hint="eastAsia" w:ascii="楷体" w:hAnsi="楷体" w:eastAsia="楷体" w:cs="Arial"/>
          <w:color w:val="000000"/>
          <w:kern w:val="2"/>
          <w:sz w:val="28"/>
          <w:szCs w:val="28"/>
          <w:lang w:eastAsia="zh-CN"/>
        </w:rPr>
        <w:tab/>
      </w:r>
      <w:r>
        <w:rPr>
          <w:rFonts w:hint="eastAsia" w:ascii="楷体" w:hAnsi="楷体" w:eastAsia="楷体" w:cs="Arial"/>
          <w:color w:val="000000"/>
          <w:kern w:val="2"/>
          <w:sz w:val="28"/>
          <w:szCs w:val="28"/>
          <w:lang w:val="en-US" w:eastAsia="zh-CN"/>
        </w:rPr>
        <w:t>19</w:t>
      </w:r>
    </w:p>
    <w:p>
      <w:pPr>
        <w:tabs>
          <w:tab w:val="right" w:leader="dot" w:pos="8715"/>
        </w:tabs>
        <w:spacing w:line="480" w:lineRule="exact"/>
        <w:ind w:left="875" w:leftChars="270" w:hanging="308" w:hangingChars="110"/>
        <w:rPr>
          <w:rFonts w:hint="default" w:ascii="楷体" w:hAnsi="楷体" w:eastAsia="楷体" w:cs="Arial"/>
          <w:color w:val="000000"/>
          <w:kern w:val="2"/>
          <w:sz w:val="28"/>
          <w:szCs w:val="28"/>
          <w:lang w:val="en-US" w:eastAsia="zh-CN"/>
        </w:rPr>
      </w:pPr>
      <w:r>
        <w:rPr>
          <w:rFonts w:hint="eastAsia" w:ascii="楷体" w:hAnsi="楷体" w:eastAsia="楷体"/>
          <w:color w:val="000000"/>
          <w:kern w:val="2"/>
          <w:sz w:val="28"/>
          <w:szCs w:val="28"/>
        </w:rPr>
        <w:t>●</w:t>
      </w:r>
      <w:r>
        <w:rPr>
          <w:rFonts w:hint="eastAsia" w:ascii="楷体" w:hAnsi="楷体" w:eastAsia="楷体" w:cs="Arial"/>
          <w:color w:val="000000"/>
          <w:kern w:val="2"/>
          <w:sz w:val="28"/>
          <w:szCs w:val="28"/>
          <w:lang w:eastAsia="zh-CN"/>
        </w:rPr>
        <w:tab/>
      </w:r>
      <w:r>
        <w:rPr>
          <w:rFonts w:hint="eastAsia" w:ascii="楷体" w:hAnsi="楷体" w:eastAsia="楷体"/>
          <w:color w:val="000000"/>
          <w:kern w:val="2"/>
          <w:sz w:val="28"/>
          <w:szCs w:val="28"/>
          <w:lang w:eastAsia="zh-CN"/>
        </w:rPr>
        <w:t>深圳协同推进经济高质量发展和生态环境高水平保护的实践探索与经验启示（吴平</w:t>
      </w:r>
      <w:r>
        <w:rPr>
          <w:rFonts w:hint="eastAsia" w:ascii="楷体" w:hAnsi="楷体" w:eastAsia="楷体"/>
          <w:color w:val="000000"/>
          <w:kern w:val="2"/>
          <w:sz w:val="28"/>
          <w:szCs w:val="28"/>
          <w:lang w:val="en-US" w:eastAsia="zh-CN"/>
        </w:rPr>
        <w:t xml:space="preserve">  </w:t>
      </w:r>
      <w:r>
        <w:rPr>
          <w:rFonts w:hint="eastAsia" w:ascii="楷体" w:hAnsi="楷体" w:eastAsia="楷体"/>
          <w:color w:val="000000"/>
          <w:kern w:val="2"/>
          <w:sz w:val="28"/>
          <w:szCs w:val="28"/>
          <w:lang w:eastAsia="zh-CN"/>
        </w:rPr>
        <w:t>等）</w:t>
      </w:r>
      <w:r>
        <w:rPr>
          <w:rFonts w:hint="eastAsia" w:ascii="楷体" w:hAnsi="楷体" w:eastAsia="楷体" w:cs="Arial"/>
          <w:color w:val="000000"/>
          <w:kern w:val="2"/>
          <w:sz w:val="28"/>
          <w:szCs w:val="28"/>
          <w:lang w:eastAsia="zh-CN"/>
        </w:rPr>
        <w:tab/>
      </w:r>
      <w:r>
        <w:rPr>
          <w:rFonts w:hint="eastAsia" w:ascii="楷体" w:hAnsi="楷体" w:eastAsia="楷体" w:cs="Arial"/>
          <w:color w:val="000000"/>
          <w:kern w:val="2"/>
          <w:sz w:val="28"/>
          <w:szCs w:val="28"/>
          <w:lang w:val="en-US" w:eastAsia="zh-CN"/>
        </w:rPr>
        <w:t>26</w:t>
      </w:r>
    </w:p>
    <w:p>
      <w:pPr>
        <w:spacing w:line="480" w:lineRule="exact"/>
        <w:jc w:val="left"/>
        <w:rPr>
          <w:rFonts w:ascii="黑体" w:hAnsi="黑体" w:eastAsia="黑体"/>
          <w:bCs/>
          <w:color w:val="000000"/>
          <w:kern w:val="2"/>
          <w:sz w:val="32"/>
          <w:szCs w:val="32"/>
        </w:rPr>
      </w:pPr>
      <w:r>
        <w:rPr>
          <w:rFonts w:hint="eastAsia" w:ascii="黑体" w:hAnsi="黑体" w:eastAsia="黑体"/>
          <w:bCs/>
          <w:color w:val="000000"/>
          <w:kern w:val="2"/>
          <w:sz w:val="32"/>
          <w:szCs w:val="32"/>
        </w:rPr>
        <w:t>【企业直通车】</w:t>
      </w:r>
    </w:p>
    <w:p>
      <w:pPr>
        <w:tabs>
          <w:tab w:val="right" w:leader="dot" w:pos="8715"/>
        </w:tabs>
        <w:spacing w:line="480" w:lineRule="exact"/>
        <w:ind w:firstLine="560" w:firstLineChars="200"/>
        <w:rPr>
          <w:rFonts w:hint="default" w:ascii="黑体" w:hAnsi="黑体" w:eastAsia="楷体"/>
          <w:bCs/>
          <w:color w:val="000000"/>
          <w:kern w:val="2"/>
          <w:sz w:val="32"/>
          <w:szCs w:val="32"/>
          <w:lang w:val="en-US" w:eastAsia="zh-CN"/>
        </w:rPr>
      </w:pPr>
      <w:r>
        <w:rPr>
          <w:rFonts w:hint="eastAsia" w:ascii="楷体" w:hAnsi="楷体" w:eastAsia="楷体"/>
          <w:color w:val="000000"/>
          <w:kern w:val="2"/>
          <w:sz w:val="28"/>
          <w:szCs w:val="28"/>
        </w:rPr>
        <w:t>●</w:t>
      </w:r>
      <w:r>
        <w:rPr>
          <w:rFonts w:hint="eastAsia" w:ascii="楷体" w:hAnsi="楷体" w:eastAsia="楷体"/>
          <w:color w:val="000000"/>
          <w:kern w:val="2"/>
          <w:sz w:val="28"/>
          <w:szCs w:val="28"/>
          <w:lang w:eastAsia="zh-CN"/>
        </w:rPr>
        <w:t>中兴通讯：积极参与全球</w:t>
      </w:r>
      <w:r>
        <w:rPr>
          <w:rFonts w:hint="eastAsia" w:ascii="楷体" w:hAnsi="楷体" w:eastAsia="楷体"/>
          <w:color w:val="000000"/>
          <w:kern w:val="2"/>
          <w:sz w:val="28"/>
          <w:szCs w:val="28"/>
          <w:lang w:val="en-US" w:eastAsia="zh-CN"/>
        </w:rPr>
        <w:t>5G建设</w:t>
      </w:r>
      <w:r>
        <w:rPr>
          <w:rFonts w:ascii="楷体" w:hAnsi="楷体" w:eastAsia="楷体"/>
          <w:color w:val="000000"/>
          <w:kern w:val="2"/>
          <w:sz w:val="28"/>
          <w:szCs w:val="28"/>
        </w:rPr>
        <w:tab/>
      </w:r>
      <w:r>
        <w:rPr>
          <w:rFonts w:hint="eastAsia" w:ascii="楷体" w:hAnsi="楷体" w:eastAsia="楷体"/>
          <w:color w:val="000000"/>
          <w:kern w:val="2"/>
          <w:sz w:val="28"/>
          <w:szCs w:val="28"/>
          <w:lang w:val="en-US" w:eastAsia="zh-CN"/>
        </w:rPr>
        <w:t>34</w:t>
      </w:r>
    </w:p>
    <w:p>
      <w:pPr>
        <w:widowControl/>
        <w:spacing w:line="240" w:lineRule="auto"/>
        <w:jc w:val="left"/>
        <w:rPr>
          <w:rFonts w:ascii="黑体" w:hAnsi="黑体" w:eastAsia="黑体"/>
          <w:bCs/>
          <w:color w:val="000000"/>
          <w:kern w:val="2"/>
          <w:sz w:val="32"/>
          <w:szCs w:val="32"/>
        </w:rPr>
        <w:sectPr>
          <w:footerReference r:id="rId3" w:type="default"/>
          <w:endnotePr>
            <w:numFmt w:val="decimal"/>
          </w:endnotePr>
          <w:pgSz w:w="11906" w:h="16838"/>
          <w:pgMar w:top="1418" w:right="1503" w:bottom="1418" w:left="1503" w:header="720" w:footer="851" w:gutter="0"/>
          <w:pgNumType w:fmt="numberInDash" w:start="1"/>
          <w:cols w:space="720" w:num="1"/>
          <w:docGrid w:type="linesAndChars" w:linePitch="312" w:charSpace="0"/>
        </w:sectPr>
      </w:pPr>
      <w:r>
        <w:rPr>
          <w:rFonts w:ascii="黑体" w:hAnsi="黑体" w:eastAsia="黑体"/>
          <w:bCs/>
          <w:color w:val="000000"/>
          <w:kern w:val="2"/>
          <w:sz w:val="32"/>
          <w:szCs w:val="32"/>
        </w:rPr>
        <w:br w:type="page"/>
      </w:r>
    </w:p>
    <w:p>
      <w:pPr>
        <w:rPr>
          <w:rFonts w:hint="eastAsia" w:ascii="黑体" w:hAnsi="黑体" w:eastAsia="黑体"/>
          <w:bCs/>
          <w:color w:val="000000"/>
          <w:kern w:val="0"/>
          <w:sz w:val="32"/>
          <w:szCs w:val="32"/>
        </w:rPr>
        <w:sectPr>
          <w:footerReference r:id="rId4" w:type="default"/>
          <w:footerReference r:id="rId5" w:type="even"/>
          <w:endnotePr>
            <w:numFmt w:val="decimal"/>
          </w:endnotePr>
          <w:type w:val="continuous"/>
          <w:pgSz w:w="11906" w:h="16838"/>
          <w:pgMar w:top="1417" w:right="1503" w:bottom="1417" w:left="1503" w:header="720" w:footer="850" w:gutter="0"/>
          <w:pgNumType w:fmt="numberInDash"/>
          <w:cols w:space="720" w:num="1"/>
          <w:docGrid w:type="lines" w:linePitch="312" w:charSpace="0"/>
        </w:sectPr>
      </w:pPr>
      <w:r>
        <w:rPr>
          <w:rFonts w:hint="eastAsia" w:ascii="黑体" w:hAnsi="黑体" w:eastAsia="黑体"/>
          <w:bCs/>
          <w:color w:val="000000"/>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w:t>
      </w:r>
      <w:r>
        <w:rPr>
          <w:rFonts w:hint="eastAsia" w:ascii="方正黑体_GBK" w:hAnsi="方正黑体_GBK" w:eastAsia="方正黑体_GBK" w:cs="方正黑体_GBK"/>
          <w:color w:val="000000"/>
          <w:sz w:val="32"/>
          <w:szCs w:val="32"/>
          <w:lang w:eastAsia="zh-CN"/>
        </w:rPr>
        <w:t>贸促</w:t>
      </w:r>
      <w:r>
        <w:rPr>
          <w:rFonts w:hint="eastAsia" w:ascii="方正黑体_GBK" w:hAnsi="方正黑体_GBK" w:eastAsia="方正黑体_GBK" w:cs="方正黑体_GBK"/>
          <w:color w:val="000000"/>
          <w:sz w:val="32"/>
          <w:szCs w:val="32"/>
          <w:lang w:val="en-US" w:eastAsia="zh-CN"/>
        </w:rPr>
        <w:t>专题研究</w:t>
      </w:r>
      <w:r>
        <w:rPr>
          <w:rFonts w:hint="eastAsia" w:ascii="方正黑体_GBK" w:hAnsi="方正黑体_GBK" w:eastAsia="方正黑体_GBK" w:cs="方正黑体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从商事认证数据看我市</w:t>
      </w:r>
      <w:r>
        <w:rPr>
          <w:rFonts w:hint="eastAsia" w:ascii="方正小标宋简体" w:hAnsi="方正小标宋简体" w:eastAsia="方正小标宋简体" w:cs="方正小标宋简体"/>
          <w:color w:val="000000"/>
          <w:sz w:val="44"/>
          <w:szCs w:val="44"/>
          <w:lang w:eastAsia="zh-CN"/>
        </w:rPr>
        <w:t>货物贸易出口</w:t>
      </w:r>
      <w:r>
        <w:rPr>
          <w:rFonts w:hint="eastAsia" w:ascii="方正小标宋简体" w:hAnsi="方正小标宋简体" w:eastAsia="方正小标宋简体" w:cs="方正小标宋简体"/>
          <w:color w:val="000000"/>
          <w:sz w:val="44"/>
          <w:szCs w:val="44"/>
        </w:rPr>
        <w:t>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CESI楷体-GB2312" w:hAnsi="CESI楷体-GB2312" w:eastAsia="CESI楷体-GB2312" w:cs="CESI楷体-GB2312"/>
          <w:color w:val="000000"/>
          <w:sz w:val="32"/>
          <w:szCs w:val="32"/>
          <w:lang w:val="en-US" w:eastAsia="zh-CN"/>
        </w:rPr>
      </w:pPr>
      <w:r>
        <w:rPr>
          <w:rFonts w:hint="eastAsia" w:ascii="CESI楷体-GB2312" w:hAnsi="CESI楷体-GB2312" w:eastAsia="CESI楷体-GB2312" w:cs="CESI楷体-GB2312"/>
          <w:color w:val="000000"/>
          <w:sz w:val="32"/>
          <w:szCs w:val="32"/>
          <w:lang w:val="en-US" w:eastAsia="zh-CN"/>
        </w:rPr>
        <w:t>深圳市贸促委  何智辉  陈书鸣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原产地证书是出口国特定机构出具的出口货物为该国家（或地区）原产的证明文件，其签发情况是对外贸易的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晴雨表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。深圳市贸促委作为对外贸易投资促进机构，</w:t>
      </w:r>
      <w:r>
        <w:rPr>
          <w:rFonts w:hint="eastAsia" w:ascii="仿宋_GB2312" w:hAnsi="仿宋_GB2312" w:eastAsia="仿宋_GB2312" w:cs="仿宋_GB2312"/>
          <w:color w:val="000000"/>
          <w:sz w:val="32"/>
          <w:szCs w:val="32"/>
          <w:lang w:val="en-US" w:eastAsia="zh-CN"/>
        </w:rPr>
        <w:t>2022年1-12月</w:t>
      </w:r>
      <w:r>
        <w:rPr>
          <w:rFonts w:hint="eastAsia" w:ascii="仿宋_GB2312" w:hAnsi="仿宋_GB2312" w:eastAsia="仿宋_GB2312" w:cs="仿宋_GB2312"/>
          <w:color w:val="000000"/>
          <w:sz w:val="32"/>
          <w:szCs w:val="32"/>
        </w:rPr>
        <w:t>，累计签发各类商事文件90万份，其中</w:t>
      </w:r>
      <w:r>
        <w:rPr>
          <w:rFonts w:hint="eastAsia" w:ascii="仿宋_GB2312" w:hAnsi="仿宋_GB2312" w:eastAsia="仿宋_GB2312" w:cs="仿宋_GB2312"/>
          <w:color w:val="000000"/>
          <w:sz w:val="32"/>
          <w:szCs w:val="32"/>
          <w:lang w:eastAsia="zh-CN"/>
        </w:rPr>
        <w:t>非优惠</w:t>
      </w:r>
      <w:r>
        <w:rPr>
          <w:rFonts w:hint="eastAsia" w:ascii="仿宋_GB2312" w:hAnsi="仿宋_GB2312" w:eastAsia="仿宋_GB2312" w:cs="仿宋_GB2312"/>
          <w:color w:val="000000"/>
          <w:sz w:val="32"/>
          <w:szCs w:val="32"/>
        </w:rPr>
        <w:t>原产地证书</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万份，同比增长4.3%</w:t>
      </w:r>
      <w:r>
        <w:rPr>
          <w:rFonts w:hint="eastAsia" w:ascii="仿宋_GB2312" w:hAnsi="仿宋_GB2312" w:eastAsia="仿宋_GB2312" w:cs="仿宋_GB2312"/>
          <w:color w:val="000000"/>
          <w:sz w:val="32"/>
          <w:szCs w:val="32"/>
          <w:lang w:eastAsia="zh-CN"/>
        </w:rPr>
        <w:t>，涉及出口金额</w:t>
      </w:r>
      <w:r>
        <w:rPr>
          <w:rFonts w:hint="eastAsia" w:ascii="仿宋_GB2312" w:hAnsi="仿宋_GB2312" w:eastAsia="仿宋_GB2312" w:cs="仿宋_GB2312"/>
          <w:color w:val="000000"/>
          <w:sz w:val="32"/>
          <w:szCs w:val="32"/>
          <w:lang w:val="en-US" w:eastAsia="zh-CN"/>
        </w:rPr>
        <w:t>247亿美元；</w:t>
      </w:r>
      <w:r>
        <w:rPr>
          <w:rFonts w:hint="eastAsia" w:ascii="仿宋_GB2312" w:hAnsi="仿宋_GB2312" w:eastAsia="仿宋_GB2312" w:cs="仿宋_GB2312"/>
          <w:color w:val="000000"/>
          <w:sz w:val="32"/>
          <w:szCs w:val="32"/>
        </w:rPr>
        <w:t>优惠原产地证书20.3万份，同比增长21.6%，涉及出口金额约37.7亿美元，为企业减免进口国关税约1.9亿美元。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一、从商事认证数据分析货物贸易出口特点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经对比签证数据及分析研判，发现我市一般货物贸易出口呈现六大变化：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出口俄美</w:t>
      </w:r>
      <w:r>
        <w:rPr>
          <w:rFonts w:hint="eastAsia" w:ascii="CESI楷体-GB2312" w:hAnsi="CESI楷体-GB2312" w:eastAsia="CESI楷体-GB2312" w:cs="CESI楷体-GB2312"/>
          <w:b/>
          <w:bCs/>
          <w:color w:val="000000"/>
          <w:sz w:val="32"/>
          <w:szCs w:val="32"/>
          <w:lang w:eastAsia="zh-CN"/>
        </w:rPr>
        <w:t>降幅较大</w:t>
      </w:r>
      <w:r>
        <w:rPr>
          <w:rFonts w:hint="eastAsia" w:ascii="CESI楷体-GB2312" w:hAnsi="CESI楷体-GB2312" w:eastAsia="CESI楷体-GB2312" w:cs="CESI楷体-GB2312"/>
          <w:b/>
          <w:bCs/>
          <w:color w:val="000000"/>
          <w:sz w:val="32"/>
          <w:szCs w:val="32"/>
        </w:rPr>
        <w:t>。</w:t>
      </w:r>
      <w:r>
        <w:rPr>
          <w:rFonts w:hint="eastAsia" w:ascii="仿宋_GB2312" w:hAnsi="仿宋_GB2312" w:eastAsia="仿宋_GB2312" w:cs="仿宋_GB2312"/>
          <w:color w:val="000000"/>
          <w:sz w:val="32"/>
          <w:szCs w:val="32"/>
        </w:rPr>
        <w:t>非优惠原产地证书前十大使用目的国的签发量有显著变化，受俄乌战争及中美经贸摩擦等影响，出口俄罗斯签证量同比下降27.5%、美国同比下降20.4%。阿联酋、沙特阿拉伯、孟加拉基本持平。德国、印度、土耳其、乌兹别克斯坦、荷兰等有所增长。其中，土耳其已实现连续4年跨越式增长，同比2018年增长超过170%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出口欧盟</w:t>
      </w:r>
      <w:r>
        <w:rPr>
          <w:rFonts w:hint="eastAsia" w:ascii="CESI楷体-GB2312" w:hAnsi="CESI楷体-GB2312" w:eastAsia="CESI楷体-GB2312" w:cs="CESI楷体-GB2312"/>
          <w:b/>
          <w:bCs/>
          <w:color w:val="000000"/>
          <w:sz w:val="32"/>
          <w:szCs w:val="32"/>
          <w:lang w:eastAsia="zh-CN"/>
        </w:rPr>
        <w:t>增幅较大</w:t>
      </w:r>
      <w:r>
        <w:rPr>
          <w:rFonts w:hint="eastAsia" w:ascii="CESI楷体-GB2312" w:hAnsi="CESI楷体-GB2312" w:eastAsia="CESI楷体-GB2312" w:cs="CESI楷体-GB2312"/>
          <w:b/>
          <w:bCs/>
          <w:color w:val="000000"/>
          <w:sz w:val="32"/>
          <w:szCs w:val="32"/>
        </w:rPr>
        <w:t>。</w:t>
      </w:r>
      <w:r>
        <w:rPr>
          <w:rFonts w:hint="eastAsia" w:ascii="仿宋_GB2312" w:hAnsi="仿宋_GB2312" w:eastAsia="仿宋_GB2312" w:cs="仿宋_GB2312"/>
          <w:color w:val="000000"/>
          <w:sz w:val="32"/>
          <w:szCs w:val="32"/>
          <w:lang w:val="en-US" w:eastAsia="zh-CN"/>
        </w:rPr>
        <w:t>2022年</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月签发出口欧盟国家非优惠原产地证书</w:t>
      </w:r>
      <w:r>
        <w:rPr>
          <w:rFonts w:hint="eastAsia" w:ascii="仿宋_GB2312" w:hAnsi="仿宋_GB2312" w:eastAsia="仿宋_GB2312" w:cs="仿宋_GB2312"/>
          <w:color w:val="000000"/>
          <w:sz w:val="32"/>
          <w:szCs w:val="32"/>
          <w:lang w:val="en-US" w:eastAsia="zh-CN"/>
        </w:rPr>
        <w:t>98352</w:t>
      </w:r>
      <w:r>
        <w:rPr>
          <w:rFonts w:hint="eastAsia" w:ascii="仿宋_GB2312" w:hAnsi="仿宋_GB2312" w:eastAsia="仿宋_GB2312" w:cs="仿宋_GB2312"/>
          <w:color w:val="000000"/>
          <w:sz w:val="32"/>
          <w:szCs w:val="32"/>
        </w:rPr>
        <w:t>份，同比增长</w:t>
      </w:r>
      <w:r>
        <w:rPr>
          <w:rFonts w:hint="eastAsia" w:ascii="仿宋_GB2312" w:hAnsi="仿宋_GB2312" w:eastAsia="仿宋_GB2312" w:cs="仿宋_GB2312"/>
          <w:color w:val="000000"/>
          <w:sz w:val="32"/>
          <w:szCs w:val="32"/>
          <w:lang w:val="en-US" w:eastAsia="zh-CN"/>
        </w:rPr>
        <w:t>14.1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其中，出口德国32365份，同比增长</w:t>
      </w:r>
      <w:r>
        <w:rPr>
          <w:rFonts w:hint="eastAsia" w:ascii="仿宋_GB2312" w:hAnsi="仿宋_GB2312" w:eastAsia="仿宋_GB2312" w:cs="仿宋_GB2312"/>
          <w:color w:val="000000"/>
          <w:sz w:val="32"/>
          <w:szCs w:val="32"/>
          <w:lang w:val="en-US" w:eastAsia="zh-CN"/>
        </w:rPr>
        <w:t>20.2</w:t>
      </w:r>
      <w:r>
        <w:rPr>
          <w:rFonts w:hint="eastAsia" w:ascii="仿宋_GB2312" w:hAnsi="仿宋_GB2312" w:eastAsia="仿宋_GB2312" w:cs="仿宋_GB2312"/>
          <w:color w:val="000000"/>
          <w:sz w:val="32"/>
          <w:szCs w:val="32"/>
        </w:rPr>
        <w:t>%；出口立陶宛</w:t>
      </w:r>
      <w:r>
        <w:rPr>
          <w:rFonts w:hint="eastAsia" w:ascii="仿宋_GB2312" w:hAnsi="仿宋_GB2312" w:eastAsia="仿宋_GB2312" w:cs="仿宋_GB2312"/>
          <w:color w:val="000000"/>
          <w:sz w:val="32"/>
          <w:szCs w:val="32"/>
          <w:lang w:val="en-US" w:eastAsia="zh-CN"/>
        </w:rPr>
        <w:t>766</w:t>
      </w:r>
      <w:r>
        <w:rPr>
          <w:rFonts w:hint="eastAsia" w:ascii="仿宋_GB2312" w:hAnsi="仿宋_GB2312" w:eastAsia="仿宋_GB2312" w:cs="仿宋_GB2312"/>
          <w:color w:val="000000"/>
          <w:sz w:val="32"/>
          <w:szCs w:val="32"/>
        </w:rPr>
        <w:t>份，同比下降</w:t>
      </w:r>
      <w:r>
        <w:rPr>
          <w:rFonts w:hint="eastAsia" w:ascii="仿宋_GB2312" w:hAnsi="仿宋_GB2312" w:eastAsia="仿宋_GB2312" w:cs="仿宋_GB2312"/>
          <w:color w:val="000000"/>
          <w:sz w:val="32"/>
          <w:szCs w:val="32"/>
          <w:lang w:val="en-US" w:eastAsia="zh-CN"/>
        </w:rPr>
        <w:t>35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个成员国同比下降，1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个成员国同比增长。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东南亚</w:t>
      </w:r>
      <w:r>
        <w:rPr>
          <w:rFonts w:hint="eastAsia" w:ascii="CESI楷体-GB2312" w:hAnsi="CESI楷体-GB2312" w:eastAsia="CESI楷体-GB2312" w:cs="CESI楷体-GB2312"/>
          <w:b/>
          <w:bCs/>
          <w:color w:val="000000"/>
          <w:sz w:val="32"/>
          <w:szCs w:val="32"/>
          <w:lang w:eastAsia="zh-CN"/>
        </w:rPr>
        <w:t>地区</w:t>
      </w:r>
      <w:r>
        <w:rPr>
          <w:rFonts w:hint="eastAsia" w:ascii="CESI楷体-GB2312" w:hAnsi="CESI楷体-GB2312" w:eastAsia="CESI楷体-GB2312" w:cs="CESI楷体-GB2312"/>
          <w:b/>
          <w:bCs/>
          <w:color w:val="000000"/>
          <w:sz w:val="32"/>
          <w:szCs w:val="32"/>
        </w:rPr>
        <w:t>合作持续深入。</w:t>
      </w:r>
      <w:r>
        <w:rPr>
          <w:rFonts w:hint="eastAsia" w:ascii="仿宋_GB2312" w:hAnsi="仿宋_GB2312" w:eastAsia="仿宋_GB2312" w:cs="仿宋_GB2312"/>
          <w:color w:val="000000"/>
          <w:sz w:val="32"/>
          <w:szCs w:val="32"/>
          <w:lang w:eastAsia="zh-CN"/>
        </w:rPr>
        <w:t>2022年1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12月共签发东盟Form E证书44254份、中韩证书77125份，分别同比增长56%、21%，分别占优惠原产地证书签发量的22%、38%，</w:t>
      </w:r>
      <w:r>
        <w:rPr>
          <w:rFonts w:hint="eastAsia" w:ascii="仿宋_GB2312" w:hAnsi="仿宋_GB2312" w:eastAsia="仿宋_GB2312" w:cs="仿宋_GB2312"/>
          <w:color w:val="000000"/>
          <w:sz w:val="32"/>
          <w:szCs w:val="32"/>
        </w:rPr>
        <w:t>从产品类别看，涉及的主要出口产品为塑料制品、灯饰、家具、机电产品和服装等。一定程度上反映出自贸协定</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color w:val="000000"/>
          <w:sz w:val="32"/>
          <w:szCs w:val="32"/>
        </w:rPr>
        <w:t>经济的复苏和区域产业链供应链的巩固提供了重要动能。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拉美地区市场潜力凸显。</w:t>
      </w:r>
      <w:r>
        <w:rPr>
          <w:rFonts w:hint="eastAsia" w:ascii="仿宋_GB2312" w:hAnsi="仿宋_GB2312" w:eastAsia="仿宋_GB2312" w:cs="仿宋_GB2312"/>
          <w:color w:val="000000"/>
          <w:sz w:val="32"/>
          <w:szCs w:val="32"/>
          <w:lang w:val="en-US" w:eastAsia="zh-CN"/>
        </w:rPr>
        <w:t>2022年</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eastAsia="zh-CN"/>
        </w:rPr>
        <w:t>签证数据显示</w:t>
      </w:r>
      <w:r>
        <w:rPr>
          <w:rFonts w:hint="eastAsia" w:ascii="仿宋_GB2312" w:hAnsi="仿宋_GB2312" w:eastAsia="仿宋_GB2312" w:cs="仿宋_GB2312"/>
          <w:color w:val="000000"/>
          <w:sz w:val="32"/>
          <w:szCs w:val="32"/>
        </w:rPr>
        <w:t>我市出口拉美地区目的国前五位依次是墨西哥、巴西</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巴拿马、阿根廷、智利，其中我国与哥斯达黎加、秘鲁和智利分别签订了自贸协定，中哥、中秘、中智自贸协定项下优惠原产地证书签证量分别同比增长44%、38%、7%。我市与智利、秘鲁、哥斯达黎加等拉美地区国家的经济互补性较强，</w:t>
      </w:r>
      <w:r>
        <w:rPr>
          <w:rFonts w:hint="eastAsia" w:ascii="仿宋_GB2312" w:hAnsi="仿宋_GB2312" w:eastAsia="仿宋_GB2312" w:cs="仿宋_GB2312"/>
          <w:color w:val="000000"/>
          <w:sz w:val="32"/>
          <w:szCs w:val="32"/>
          <w:lang w:eastAsia="zh-CN"/>
        </w:rPr>
        <w:t>其</w:t>
      </w:r>
      <w:r>
        <w:rPr>
          <w:rFonts w:hint="eastAsia" w:ascii="仿宋_GB2312" w:hAnsi="仿宋_GB2312" w:eastAsia="仿宋_GB2312" w:cs="仿宋_GB2312"/>
          <w:color w:val="000000"/>
          <w:sz w:val="32"/>
          <w:szCs w:val="32"/>
        </w:rPr>
        <w:t>拉美地区国家对我市机电产品、纺织品等</w:t>
      </w:r>
      <w:r>
        <w:rPr>
          <w:rFonts w:hint="eastAsia" w:ascii="仿宋_GB2312" w:hAnsi="仿宋_GB2312" w:eastAsia="仿宋_GB2312" w:cs="仿宋_GB2312"/>
          <w:color w:val="000000"/>
          <w:sz w:val="32"/>
          <w:szCs w:val="32"/>
          <w:lang w:eastAsia="zh-CN"/>
        </w:rPr>
        <w:t>优势出口产品</w:t>
      </w:r>
      <w:r>
        <w:rPr>
          <w:rFonts w:hint="eastAsia" w:ascii="仿宋_GB2312" w:hAnsi="仿宋_GB2312" w:eastAsia="仿宋_GB2312" w:cs="仿宋_GB2312"/>
          <w:color w:val="000000"/>
          <w:sz w:val="32"/>
          <w:szCs w:val="32"/>
        </w:rPr>
        <w:t>需求大，</w:t>
      </w:r>
      <w:r>
        <w:rPr>
          <w:rFonts w:hint="eastAsia" w:ascii="仿宋_GB2312" w:hAnsi="仿宋_GB2312" w:eastAsia="仿宋_GB2312" w:cs="仿宋_GB2312"/>
          <w:color w:val="000000"/>
          <w:sz w:val="32"/>
          <w:szCs w:val="32"/>
          <w:lang w:eastAsia="zh-CN"/>
        </w:rPr>
        <w:t>智利车厘子、哥斯达黎加香蕉</w:t>
      </w:r>
      <w:r>
        <w:rPr>
          <w:rFonts w:hint="eastAsia" w:ascii="仿宋_GB2312" w:hAnsi="仿宋_GB2312" w:eastAsia="仿宋_GB2312" w:cs="仿宋_GB2312"/>
          <w:color w:val="000000"/>
          <w:sz w:val="32"/>
          <w:szCs w:val="32"/>
        </w:rPr>
        <w:t>等农产品</w:t>
      </w:r>
      <w:r>
        <w:rPr>
          <w:rFonts w:hint="eastAsia" w:ascii="仿宋_GB2312" w:hAnsi="仿宋_GB2312" w:eastAsia="仿宋_GB2312" w:cs="仿宋_GB2312"/>
          <w:color w:val="000000"/>
          <w:sz w:val="32"/>
          <w:szCs w:val="32"/>
          <w:lang w:eastAsia="zh-CN"/>
        </w:rPr>
        <w:t>在我国深受</w:t>
      </w:r>
      <w:r>
        <w:rPr>
          <w:rFonts w:hint="eastAsia" w:ascii="仿宋_GB2312" w:hAnsi="仿宋_GB2312" w:eastAsia="仿宋_GB2312" w:cs="仿宋_GB2312"/>
          <w:color w:val="000000"/>
          <w:sz w:val="32"/>
          <w:szCs w:val="32"/>
        </w:rPr>
        <w:t>喜爱</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在当前经贸摩擦频发的背景下，越来越多拉美国家响应“一带一路”倡议，作为多元化市场战略的一部分，拉美地区市场空间潜力较大。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eastAsia="zh-CN"/>
        </w:rPr>
      </w:pPr>
      <w:r>
        <w:rPr>
          <w:rFonts w:hint="eastAsia" w:ascii="CESI楷体-GB2312" w:hAnsi="CESI楷体-GB2312" w:eastAsia="CESI楷体-GB2312" w:cs="CESI楷体-GB2312"/>
          <w:b/>
          <w:bCs/>
          <w:color w:val="000000"/>
          <w:sz w:val="32"/>
          <w:szCs w:val="32"/>
        </w:rPr>
        <w:t>RCEP对出口拉动效应明显。</w:t>
      </w:r>
      <w:r>
        <w:rPr>
          <w:rFonts w:hint="eastAsia" w:ascii="仿宋_GB2312" w:hAnsi="仿宋_GB2312" w:eastAsia="仿宋_GB2312" w:cs="仿宋_GB2312"/>
          <w:color w:val="000000"/>
          <w:sz w:val="32"/>
          <w:szCs w:val="32"/>
        </w:rPr>
        <w:t>《区域全面经济伙伴关系协定》落地实施以来，深圳企业</w:t>
      </w:r>
      <w:r>
        <w:rPr>
          <w:rFonts w:hint="eastAsia" w:ascii="仿宋_GB2312" w:hAnsi="仿宋_GB2312" w:eastAsia="仿宋_GB2312" w:cs="仿宋_GB2312"/>
          <w:color w:val="000000"/>
          <w:sz w:val="32"/>
          <w:szCs w:val="32"/>
          <w:lang w:eastAsia="zh-CN"/>
        </w:rPr>
        <w:t>积极</w:t>
      </w:r>
      <w:r>
        <w:rPr>
          <w:rFonts w:hint="eastAsia" w:ascii="仿宋_GB2312" w:hAnsi="仿宋_GB2312" w:eastAsia="仿宋_GB2312" w:cs="仿宋_GB2312"/>
          <w:color w:val="000000"/>
          <w:sz w:val="32"/>
          <w:szCs w:val="32"/>
        </w:rPr>
        <w:t>踊跃申请自贸协定原产地证书。2022年1-1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eastAsia="zh-CN"/>
        </w:rPr>
        <w:t>我</w:t>
      </w:r>
      <w:r>
        <w:rPr>
          <w:rFonts w:hint="eastAsia" w:ascii="仿宋_GB2312" w:hAnsi="仿宋_GB2312" w:eastAsia="仿宋_GB2312" w:cs="仿宋_GB2312"/>
          <w:color w:val="000000"/>
          <w:sz w:val="32"/>
          <w:szCs w:val="32"/>
        </w:rPr>
        <w:t>委签发RCEP证书5978份，涉及出口货值约2.8亿美元，助企业获关税减免约303万美元</w:t>
      </w:r>
      <w:r>
        <w:rPr>
          <w:rFonts w:hint="eastAsia" w:ascii="仿宋_GB2312" w:hAnsi="仿宋_GB2312" w:eastAsia="仿宋_GB2312" w:cs="仿宋_GB2312"/>
          <w:color w:val="000000"/>
          <w:sz w:val="32"/>
          <w:szCs w:val="32"/>
          <w:lang w:eastAsia="zh-CN"/>
        </w:rPr>
        <w:t>。主要特征包括：</w:t>
      </w:r>
      <w:r>
        <w:rPr>
          <w:rFonts w:hint="eastAsia" w:ascii="仿宋_GB2312" w:hAnsi="仿宋_GB2312" w:eastAsia="仿宋_GB2312" w:cs="仿宋_GB2312"/>
          <w:b/>
          <w:bCs/>
          <w:color w:val="000000"/>
          <w:sz w:val="32"/>
          <w:szCs w:val="32"/>
        </w:rPr>
        <w:t>出口日本势头强劲。</w:t>
      </w:r>
      <w:r>
        <w:rPr>
          <w:rFonts w:hint="eastAsia" w:ascii="仿宋_GB2312" w:hAnsi="仿宋_GB2312" w:eastAsia="仿宋_GB2312" w:cs="仿宋_GB2312"/>
          <w:color w:val="000000"/>
          <w:sz w:val="32"/>
          <w:szCs w:val="32"/>
          <w:lang w:eastAsia="zh-CN"/>
        </w:rPr>
        <w:t>我委签发</w:t>
      </w:r>
      <w:r>
        <w:rPr>
          <w:rFonts w:hint="eastAsia" w:ascii="仿宋_GB2312" w:hAnsi="仿宋_GB2312" w:eastAsia="仿宋_GB2312" w:cs="仿宋_GB2312"/>
          <w:color w:val="000000"/>
          <w:sz w:val="32"/>
          <w:szCs w:val="32"/>
        </w:rPr>
        <w:t>出口至日本的RCEP证书</w:t>
      </w:r>
      <w:r>
        <w:rPr>
          <w:rFonts w:hint="eastAsia" w:ascii="仿宋_GB2312" w:hAnsi="仿宋_GB2312" w:eastAsia="仿宋_GB2312" w:cs="仿宋_GB2312"/>
          <w:color w:val="000000"/>
          <w:sz w:val="32"/>
          <w:szCs w:val="32"/>
          <w:lang w:val="en-US" w:eastAsia="zh-CN"/>
        </w:rPr>
        <w:t>4304</w:t>
      </w:r>
      <w:r>
        <w:rPr>
          <w:rFonts w:hint="eastAsia" w:ascii="仿宋_GB2312" w:hAnsi="仿宋_GB2312" w:eastAsia="仿宋_GB2312" w:cs="仿宋_GB2312"/>
          <w:color w:val="000000"/>
          <w:sz w:val="32"/>
          <w:szCs w:val="32"/>
        </w:rPr>
        <w:t>份，占</w:t>
      </w:r>
      <w:r>
        <w:rPr>
          <w:rFonts w:hint="eastAsia" w:ascii="仿宋_GB2312" w:hAnsi="仿宋_GB2312" w:eastAsia="仿宋_GB2312" w:cs="仿宋_GB2312"/>
          <w:color w:val="000000"/>
          <w:sz w:val="32"/>
          <w:szCs w:val="32"/>
          <w:lang w:val="en-US" w:eastAsia="zh-CN"/>
        </w:rPr>
        <w:t>RCEP</w:t>
      </w:r>
      <w:r>
        <w:rPr>
          <w:rFonts w:hint="eastAsia" w:ascii="仿宋_GB2312" w:hAnsi="仿宋_GB2312" w:eastAsia="仿宋_GB2312" w:cs="仿宋_GB2312"/>
          <w:color w:val="000000"/>
          <w:sz w:val="32"/>
          <w:szCs w:val="32"/>
        </w:rPr>
        <w:t>总签证量</w:t>
      </w:r>
      <w:r>
        <w:rPr>
          <w:rFonts w:hint="eastAsia" w:ascii="仿宋_GB2312" w:hAnsi="仿宋_GB2312" w:eastAsia="仿宋_GB2312" w:cs="仿宋_GB2312"/>
          <w:color w:val="000000"/>
          <w:sz w:val="32"/>
          <w:szCs w:val="32"/>
          <w:lang w:val="en-US" w:eastAsia="zh-CN"/>
        </w:rPr>
        <w:t>72</w:t>
      </w:r>
      <w:r>
        <w:rPr>
          <w:rFonts w:hint="eastAsia" w:ascii="仿宋_GB2312" w:hAnsi="仿宋_GB2312" w:eastAsia="仿宋_GB2312" w:cs="仿宋_GB2312"/>
          <w:color w:val="000000"/>
          <w:sz w:val="32"/>
          <w:szCs w:val="32"/>
        </w:rPr>
        <w:t>%，占</w:t>
      </w:r>
      <w:r>
        <w:rPr>
          <w:rFonts w:hint="eastAsia" w:ascii="仿宋_GB2312" w:hAnsi="仿宋_GB2312" w:eastAsia="仿宋_GB2312" w:cs="仿宋_GB2312"/>
          <w:color w:val="000000"/>
          <w:sz w:val="32"/>
          <w:szCs w:val="32"/>
          <w:lang w:val="en-US" w:eastAsia="zh-CN"/>
        </w:rPr>
        <w:t>RCEP</w:t>
      </w:r>
      <w:r>
        <w:rPr>
          <w:rFonts w:hint="eastAsia" w:ascii="仿宋_GB2312" w:hAnsi="仿宋_GB2312" w:eastAsia="仿宋_GB2312" w:cs="仿宋_GB2312"/>
          <w:color w:val="000000"/>
          <w:sz w:val="32"/>
          <w:szCs w:val="32"/>
        </w:rPr>
        <w:t>总签证金额92%%。</w:t>
      </w:r>
      <w:r>
        <w:rPr>
          <w:rFonts w:hint="eastAsia" w:ascii="仿宋_GB2312" w:hAnsi="仿宋_GB2312" w:eastAsia="仿宋_GB2312" w:cs="仿宋_GB2312"/>
          <w:b/>
          <w:bCs/>
          <w:color w:val="000000"/>
          <w:sz w:val="32"/>
          <w:szCs w:val="32"/>
        </w:rPr>
        <w:t>出口韩国的RCEP证书</w:t>
      </w:r>
      <w:r>
        <w:rPr>
          <w:rFonts w:hint="eastAsia" w:ascii="仿宋_GB2312" w:hAnsi="仿宋_GB2312" w:eastAsia="仿宋_GB2312" w:cs="仿宋_GB2312"/>
          <w:b/>
          <w:bCs/>
          <w:color w:val="000000"/>
          <w:sz w:val="32"/>
          <w:szCs w:val="32"/>
          <w:lang w:eastAsia="zh-CN"/>
        </w:rPr>
        <w:t>增长明显</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rPr>
        <w:t>韩国于2月开始签发RCEP证书，</w:t>
      </w:r>
      <w:r>
        <w:rPr>
          <w:rFonts w:hint="eastAsia" w:ascii="仿宋_GB2312" w:hAnsi="仿宋_GB2312" w:eastAsia="仿宋_GB2312" w:cs="仿宋_GB2312"/>
          <w:color w:val="000000"/>
          <w:sz w:val="32"/>
          <w:szCs w:val="32"/>
          <w:lang w:eastAsia="zh-CN"/>
        </w:rPr>
        <w:t>四季度较前三季度分别增长</w:t>
      </w:r>
      <w:r>
        <w:rPr>
          <w:rFonts w:hint="eastAsia" w:ascii="仿宋_GB2312" w:hAnsi="仿宋_GB2312" w:eastAsia="仿宋_GB2312" w:cs="仿宋_GB2312"/>
          <w:color w:val="000000"/>
          <w:sz w:val="32"/>
          <w:szCs w:val="32"/>
          <w:lang w:val="en-US" w:eastAsia="zh-CN"/>
        </w:rPr>
        <w:t>700%</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50%</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40%。</w:t>
      </w:r>
      <w:r>
        <w:rPr>
          <w:rFonts w:hint="eastAsia" w:ascii="仿宋_GB2312" w:hAnsi="仿宋_GB2312" w:eastAsia="仿宋_GB2312" w:cs="仿宋_GB2312"/>
          <w:b/>
          <w:bCs/>
          <w:color w:val="000000"/>
          <w:sz w:val="32"/>
          <w:szCs w:val="32"/>
        </w:rPr>
        <w:t>劳动密集型产品享惠占比大。</w:t>
      </w:r>
      <w:r>
        <w:rPr>
          <w:rFonts w:hint="eastAsia" w:ascii="仿宋_GB2312" w:hAnsi="仿宋_GB2312" w:eastAsia="仿宋_GB2312" w:cs="仿宋_GB2312"/>
          <w:color w:val="000000"/>
          <w:sz w:val="32"/>
          <w:szCs w:val="32"/>
        </w:rPr>
        <w:t>由于RCEP协定实施梯度降税，早期劳动密集型产品的享惠比例较高。从出口产品类别来看，纺织服装、化工产品、箱包、鞋靴、塑料制品</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占比80%以上</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CESI楷体-GB2312" w:hAnsi="CESI楷体-GB2312" w:eastAsia="CESI楷体-GB2312" w:cs="CESI楷体-GB2312"/>
          <w:b/>
          <w:bCs/>
          <w:color w:val="000000"/>
          <w:sz w:val="32"/>
          <w:szCs w:val="32"/>
          <w:lang w:val="en-US" w:eastAsia="zh-CN"/>
        </w:rPr>
        <w:t>RCEP 框架下印尼证书有望增长。</w:t>
      </w:r>
      <w:r>
        <w:rPr>
          <w:rFonts w:hint="eastAsia" w:ascii="仿宋_GB2312" w:hAnsi="仿宋_GB2312" w:eastAsia="仿宋_GB2312" w:cs="仿宋_GB2312"/>
          <w:color w:val="000000"/>
          <w:sz w:val="32"/>
          <w:szCs w:val="32"/>
          <w:lang w:val="en-US" w:eastAsia="zh-CN"/>
        </w:rPr>
        <w:t>2022年1-12月，我委签发目的国为印尼的证书4984份，同比增长25.5%。印尼作为世界第四人口大国和近期G20峰会主席国，人口、经济体量均占东盟的40%左右，国际经贸影响力持续提升。2023年1月2日RCEP对印尼正式生效后，印尼对原产自中国65.1%比例的产品实施立即零关税。在RCEP带动下，2023年我市出口印尼的签证量有望进一步快速增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二、相关对策建议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lang w:val="en-US" w:eastAsia="zh-CN"/>
        </w:rPr>
        <w:t>建立多元化市场战略。</w:t>
      </w:r>
      <w:r>
        <w:rPr>
          <w:rFonts w:hint="eastAsia" w:ascii="仿宋_GB2312" w:hAnsi="仿宋_GB2312" w:eastAsia="仿宋_GB2312" w:cs="仿宋_GB2312"/>
          <w:color w:val="000000"/>
          <w:sz w:val="32"/>
          <w:szCs w:val="32"/>
          <w:lang w:eastAsia="zh-CN"/>
        </w:rPr>
        <w:t>东盟及</w:t>
      </w:r>
      <w:r>
        <w:rPr>
          <w:rFonts w:hint="eastAsia" w:ascii="仿宋_GB2312" w:hAnsi="仿宋_GB2312" w:eastAsia="仿宋_GB2312" w:cs="仿宋_GB2312"/>
          <w:color w:val="000000"/>
          <w:sz w:val="32"/>
          <w:szCs w:val="32"/>
        </w:rPr>
        <w:t>拉美</w:t>
      </w:r>
      <w:r>
        <w:rPr>
          <w:rFonts w:hint="eastAsia" w:ascii="仿宋_GB2312" w:hAnsi="仿宋_GB2312" w:eastAsia="仿宋_GB2312" w:cs="仿宋_GB2312"/>
          <w:color w:val="000000"/>
          <w:sz w:val="32"/>
          <w:szCs w:val="32"/>
          <w:lang w:eastAsia="zh-CN"/>
        </w:rPr>
        <w:t>等新兴市场</w:t>
      </w:r>
      <w:r>
        <w:rPr>
          <w:rFonts w:hint="eastAsia" w:ascii="仿宋_GB2312" w:hAnsi="仿宋_GB2312" w:eastAsia="仿宋_GB2312" w:cs="仿宋_GB2312"/>
          <w:color w:val="000000"/>
          <w:sz w:val="32"/>
          <w:szCs w:val="32"/>
        </w:rPr>
        <w:t>拥有优越的自然条件和富饶资源，</w:t>
      </w:r>
      <w:r>
        <w:rPr>
          <w:rFonts w:hint="eastAsia" w:ascii="仿宋_GB2312" w:hAnsi="仿宋_GB2312" w:eastAsia="仿宋_GB2312" w:cs="仿宋_GB2312"/>
          <w:color w:val="000000"/>
          <w:sz w:val="32"/>
          <w:szCs w:val="32"/>
          <w:lang w:eastAsia="zh-CN"/>
        </w:rPr>
        <w:t>与我市</w:t>
      </w:r>
      <w:r>
        <w:rPr>
          <w:rFonts w:hint="eastAsia" w:ascii="仿宋_GB2312" w:hAnsi="仿宋_GB2312" w:eastAsia="仿宋_GB2312" w:cs="仿宋_GB2312"/>
          <w:color w:val="000000"/>
          <w:sz w:val="32"/>
          <w:szCs w:val="32"/>
        </w:rPr>
        <w:t>经济互补性强。在当前经贸摩擦频发的背景下，我</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企业应放眼全球市场，发展多元化市场战略，积极拓展</w:t>
      </w:r>
      <w:r>
        <w:rPr>
          <w:rFonts w:hint="eastAsia" w:ascii="仿宋_GB2312" w:hAnsi="仿宋_GB2312" w:eastAsia="仿宋_GB2312" w:cs="仿宋_GB2312"/>
          <w:color w:val="000000"/>
          <w:sz w:val="32"/>
          <w:szCs w:val="32"/>
          <w:lang w:eastAsia="zh-CN"/>
        </w:rPr>
        <w:t>新兴</w:t>
      </w:r>
      <w:r>
        <w:rPr>
          <w:rFonts w:hint="eastAsia" w:ascii="仿宋_GB2312" w:hAnsi="仿宋_GB2312" w:eastAsia="仿宋_GB2312" w:cs="仿宋_GB2312"/>
          <w:color w:val="000000"/>
          <w:sz w:val="32"/>
          <w:szCs w:val="32"/>
        </w:rPr>
        <w:t>市场，扬长避短，趋利避害，减少对美国等单一市场的外贸依存度，提高整体竞争力及抗风险能力。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lang w:val="en-US" w:eastAsia="zh-CN"/>
        </w:rPr>
        <w:t>持续推进制度型开放。</w:t>
      </w:r>
      <w:r>
        <w:rPr>
          <w:rFonts w:hint="eastAsia" w:ascii="仿宋_GB2312" w:eastAsia="仿宋_GB2312"/>
          <w:color w:val="000000" w:themeColor="text1"/>
          <w:sz w:val="32"/>
          <w:szCs w:val="32"/>
          <w:lang w:eastAsia="zh-CN"/>
          <w14:textFill>
            <w14:solidFill>
              <w14:schemeClr w14:val="tx1"/>
            </w14:solidFill>
          </w14:textFill>
        </w:rPr>
        <w:t>充分</w:t>
      </w:r>
      <w:r>
        <w:rPr>
          <w:rFonts w:hint="eastAsia" w:ascii="仿宋_GB2312" w:eastAsia="仿宋_GB2312"/>
          <w:color w:val="000000" w:themeColor="text1"/>
          <w:sz w:val="32"/>
          <w:szCs w:val="32"/>
          <w14:textFill>
            <w14:solidFill>
              <w14:schemeClr w14:val="tx1"/>
            </w14:solidFill>
          </w14:textFill>
        </w:rPr>
        <w:t>发挥深圳RCEP服务中心、自贸协定（深圳）服务中心平台优势，提高企业对RCEP、</w:t>
      </w:r>
      <w:r>
        <w:rPr>
          <w:rFonts w:hint="eastAsia" w:ascii="仿宋_GB2312" w:eastAsia="仿宋_GB2312"/>
          <w:color w:val="000000" w:themeColor="text1"/>
          <w:sz w:val="32"/>
          <w:szCs w:val="32"/>
          <w:lang w:val="en-US" w:eastAsia="zh-CN"/>
          <w14:textFill>
            <w14:solidFill>
              <w14:schemeClr w14:val="tx1"/>
            </w14:solidFill>
          </w14:textFill>
        </w:rPr>
        <w:t>CPTPP、CEPA</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eastAsia="zh-CN"/>
          <w14:textFill>
            <w14:solidFill>
              <w14:schemeClr w14:val="tx1"/>
            </w14:solidFill>
          </w14:textFill>
        </w:rPr>
        <w:t>贸易</w:t>
      </w:r>
      <w:r>
        <w:rPr>
          <w:rFonts w:hint="eastAsia" w:ascii="仿宋_GB2312" w:eastAsia="仿宋_GB2312"/>
          <w:color w:val="000000" w:themeColor="text1"/>
          <w:sz w:val="32"/>
          <w:szCs w:val="32"/>
          <w14:textFill>
            <w14:solidFill>
              <w14:schemeClr w14:val="tx1"/>
            </w14:solidFill>
          </w14:textFill>
        </w:rPr>
        <w:t>协定的认识度</w:t>
      </w:r>
      <w:r>
        <w:rPr>
          <w:rFonts w:hint="eastAsia" w:ascii="仿宋_GB2312" w:eastAsia="仿宋_GB2312"/>
          <w:color w:val="000000" w:themeColor="text1"/>
          <w:sz w:val="32"/>
          <w:szCs w:val="32"/>
          <w:lang w:eastAsia="zh-CN"/>
          <w14:textFill>
            <w14:solidFill>
              <w14:schemeClr w14:val="tx1"/>
            </w14:solidFill>
          </w14:textFill>
        </w:rPr>
        <w:t>及利用率。积极推动</w:t>
      </w:r>
      <w:r>
        <w:rPr>
          <w:rFonts w:hint="eastAsia" w:ascii="仿宋_GB2312" w:eastAsia="仿宋_GB2312"/>
          <w:color w:val="000000" w:themeColor="text1"/>
          <w:sz w:val="32"/>
          <w:szCs w:val="32"/>
          <w14:textFill>
            <w14:solidFill>
              <w14:schemeClr w14:val="tx1"/>
            </w14:solidFill>
          </w14:textFill>
        </w:rPr>
        <w:t>贸易便利化，消除关税壁垒，</w:t>
      </w:r>
      <w:r>
        <w:rPr>
          <w:rFonts w:hint="eastAsia" w:ascii="仿宋_GB2312" w:eastAsia="仿宋_GB2312"/>
          <w:color w:val="000000" w:themeColor="text1"/>
          <w:sz w:val="32"/>
          <w:szCs w:val="32"/>
          <w:lang w:eastAsia="zh-CN"/>
          <w14:textFill>
            <w14:solidFill>
              <w14:schemeClr w14:val="tx1"/>
            </w14:solidFill>
          </w14:textFill>
        </w:rPr>
        <w:t>为我市优势产品出口提供便利</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帮助企业稳步开拓海外市场</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lang w:val="en-US" w:eastAsia="zh-CN"/>
        </w:rPr>
        <w:t>加强法律预警和风险防范。</w:t>
      </w:r>
      <w:r>
        <w:rPr>
          <w:rFonts w:hint="eastAsia" w:ascii="仿宋_GB2312" w:hAnsi="仿宋_GB2312" w:eastAsia="仿宋_GB2312" w:cs="仿宋_GB2312"/>
          <w:color w:val="000000"/>
          <w:sz w:val="32"/>
          <w:szCs w:val="32"/>
        </w:rPr>
        <w:t>积极</w:t>
      </w:r>
      <w:r>
        <w:rPr>
          <w:rFonts w:hint="eastAsia" w:ascii="仿宋_GB2312" w:hAnsi="仿宋_GB2312" w:eastAsia="仿宋_GB2312" w:cs="仿宋_GB2312"/>
          <w:color w:val="000000"/>
          <w:sz w:val="32"/>
          <w:szCs w:val="32"/>
          <w:lang w:val="en-US" w:eastAsia="zh-CN"/>
        </w:rPr>
        <w:t>向</w:t>
      </w:r>
      <w:r>
        <w:rPr>
          <w:rFonts w:hint="eastAsia" w:ascii="仿宋_GB2312" w:hAnsi="仿宋_GB2312" w:eastAsia="仿宋_GB2312" w:cs="仿宋_GB2312"/>
          <w:color w:val="000000"/>
          <w:sz w:val="32"/>
          <w:szCs w:val="32"/>
        </w:rPr>
        <w:t>“走出去”企业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尤其是中小企业开展涉外商事法律服务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通过培训论坛、风险排查和现场指导等方式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帮助企业建立法律合规体系，提高海外市场风险防范意识。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数字经济将成文化贸易新发力点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CESI楷体-GB2312" w:hAnsi="CESI楷体-GB2312" w:eastAsia="CESI楷体-GB2312" w:cs="CESI楷体-GB2312"/>
          <w:color w:val="000000"/>
          <w:sz w:val="32"/>
          <w:szCs w:val="32"/>
          <w:lang w:val="en-US" w:eastAsia="zh-CN"/>
        </w:rPr>
      </w:pPr>
      <w:r>
        <w:rPr>
          <w:rFonts w:hint="eastAsia" w:ascii="CESI楷体-GB2312" w:hAnsi="CESI楷体-GB2312" w:eastAsia="CESI楷体-GB2312" w:cs="CESI楷体-GB2312"/>
          <w:color w:val="000000"/>
          <w:sz w:val="32"/>
          <w:szCs w:val="32"/>
          <w:lang w:val="en-US" w:eastAsia="zh-CN"/>
        </w:rPr>
        <w:t>深圳市贸促委  姚逸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近日，中国贸促会发布《数字经济企业对文化贸易的促进作用》研究报告，该报告以腾讯、爱奇艺、阅文、三七互娱等代表性企业为案例，研究指出数字经济正在成为加快建设贸易强国、建成文化强国的“新引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sz w:val="32"/>
          <w:szCs w:val="32"/>
          <w:lang w:val="en-US"/>
        </w:rPr>
      </w:pPr>
      <w:r>
        <w:rPr>
          <w:rFonts w:hint="eastAsia" w:ascii="方正黑体_GBK" w:hAnsi="方正黑体_GBK" w:eastAsia="方正黑体_GBK" w:cs="方正黑体_GBK"/>
          <w:color w:val="000000"/>
          <w:sz w:val="32"/>
          <w:szCs w:val="32"/>
          <w:lang w:val="en-US" w:eastAsia="zh-CN"/>
        </w:rPr>
        <w:t>一、</w:t>
      </w:r>
      <w:r>
        <w:rPr>
          <w:rFonts w:hint="eastAsia" w:ascii="方正黑体_GBK" w:hAnsi="方正黑体_GBK" w:eastAsia="方正黑体_GBK" w:cs="方正黑体_GBK"/>
          <w:color w:val="000000"/>
          <w:sz w:val="32"/>
          <w:szCs w:val="32"/>
          <w:lang w:val="en-US"/>
        </w:rPr>
        <w:t>数字经济与文化贸易深度融合</w:t>
      </w:r>
      <w:r>
        <w:rPr>
          <w:rFonts w:hint="eastAsia" w:ascii="方正黑体_GBK" w:hAnsi="方正黑体_GBK" w:eastAsia="方正黑体_GBK" w:cs="方正黑体_GBK"/>
          <w:color w:val="000000"/>
          <w:sz w:val="32"/>
          <w:szCs w:val="32"/>
          <w:lang w:val="en-US" w:eastAsia="zh-CN"/>
        </w:rPr>
        <w:t>已</w:t>
      </w:r>
      <w:r>
        <w:rPr>
          <w:rFonts w:hint="eastAsia" w:ascii="方正黑体_GBK" w:hAnsi="方正黑体_GBK" w:eastAsia="方正黑体_GBK" w:cs="方正黑体_GBK"/>
          <w:color w:val="000000"/>
          <w:sz w:val="32"/>
          <w:szCs w:val="32"/>
          <w:lang w:val="en-US"/>
        </w:rPr>
        <w:t>是大势所趋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数字技术的应用颠覆了文化产业的传统范式，改变了全球文化产品流通模式、市场主体参与形式、文化交流方式，有力推动了全球文化价值链的重构</w:t>
      </w:r>
      <w:r>
        <w:rPr>
          <w:rFonts w:hint="eastAsia" w:ascii="仿宋_GB2312" w:hAnsi="仿宋_GB2312" w:eastAsia="仿宋_GB2312" w:cs="仿宋_GB2312"/>
          <w:color w:val="000000"/>
          <w:sz w:val="32"/>
          <w:szCs w:val="32"/>
          <w:lang w:eastAsia="zh-CN"/>
        </w:rPr>
        <w:t>。同时，</w:t>
      </w:r>
      <w:r>
        <w:rPr>
          <w:rFonts w:hint="eastAsia" w:ascii="仿宋_GB2312" w:hAnsi="仿宋_GB2312" w:eastAsia="仿宋_GB2312" w:cs="仿宋_GB2312"/>
          <w:color w:val="000000"/>
          <w:sz w:val="32"/>
          <w:szCs w:val="32"/>
        </w:rPr>
        <w:t>数字技术的应用打破了传统文化贸易交流的时空限制，有利于不同区域之间文明</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交流互鉴，</w:t>
      </w:r>
      <w:r>
        <w:rPr>
          <w:rFonts w:hint="eastAsia" w:ascii="仿宋_GB2312" w:hAnsi="仿宋_GB2312" w:eastAsia="仿宋_GB2312" w:cs="仿宋_GB2312"/>
          <w:color w:val="000000"/>
          <w:sz w:val="32"/>
          <w:szCs w:val="32"/>
          <w:lang w:eastAsia="zh-CN"/>
        </w:rPr>
        <w:t>有助于</w:t>
      </w:r>
      <w:r>
        <w:rPr>
          <w:rFonts w:hint="eastAsia" w:ascii="仿宋_GB2312" w:hAnsi="仿宋_GB2312" w:eastAsia="仿宋_GB2312" w:cs="仿宋_GB2312"/>
          <w:color w:val="000000"/>
          <w:sz w:val="32"/>
          <w:szCs w:val="32"/>
        </w:rPr>
        <w:t>国际文化领域经贸合作</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进一步深化</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数字经济企业</w:t>
      </w:r>
      <w:r>
        <w:rPr>
          <w:rFonts w:hint="eastAsia" w:ascii="仿宋_GB2312" w:hAnsi="仿宋_GB2312" w:eastAsia="仿宋_GB2312" w:cs="仿宋_GB2312"/>
          <w:color w:val="000000"/>
          <w:sz w:val="32"/>
          <w:szCs w:val="32"/>
          <w:lang w:eastAsia="zh-CN"/>
        </w:rPr>
        <w:t>能够凭借技术研发优势，</w:t>
      </w:r>
      <w:r>
        <w:rPr>
          <w:rFonts w:hint="eastAsia" w:ascii="仿宋_GB2312" w:hAnsi="仿宋_GB2312" w:eastAsia="仿宋_GB2312" w:cs="仿宋_GB2312"/>
          <w:color w:val="000000"/>
          <w:sz w:val="32"/>
          <w:szCs w:val="32"/>
        </w:rPr>
        <w:t>通过搭建开放平台、开放服务体系全面赋能文化贸易参与主体，</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color w:val="000000"/>
          <w:sz w:val="32"/>
          <w:szCs w:val="32"/>
        </w:rPr>
        <w:t>文化贸易</w:t>
      </w:r>
      <w:r>
        <w:rPr>
          <w:rFonts w:hint="eastAsia" w:ascii="仿宋_GB2312" w:hAnsi="仿宋_GB2312" w:eastAsia="仿宋_GB2312" w:cs="仿宋_GB2312"/>
          <w:color w:val="000000"/>
          <w:sz w:val="32"/>
          <w:szCs w:val="32"/>
          <w:lang w:eastAsia="zh-CN"/>
        </w:rPr>
        <w:t>发挥</w:t>
      </w:r>
      <w:r>
        <w:rPr>
          <w:rFonts w:hint="eastAsia" w:ascii="仿宋_GB2312" w:hAnsi="仿宋_GB2312" w:eastAsia="仿宋_GB2312" w:cs="仿宋_GB2312"/>
          <w:color w:val="000000"/>
          <w:sz w:val="32"/>
          <w:szCs w:val="32"/>
        </w:rPr>
        <w:t>重要</w:t>
      </w:r>
      <w:r>
        <w:rPr>
          <w:rFonts w:hint="eastAsia" w:ascii="仿宋_GB2312" w:hAnsi="仿宋_GB2312" w:eastAsia="仿宋_GB2312" w:cs="仿宋_GB2312"/>
          <w:color w:val="000000"/>
          <w:sz w:val="32"/>
          <w:szCs w:val="32"/>
          <w:lang w:eastAsia="zh-CN"/>
        </w:rPr>
        <w:t>促进</w:t>
      </w:r>
      <w:r>
        <w:rPr>
          <w:rFonts w:hint="eastAsia" w:ascii="仿宋_GB2312" w:hAnsi="仿宋_GB2312" w:eastAsia="仿宋_GB2312" w:cs="仿宋_GB2312"/>
          <w:color w:val="000000"/>
          <w:sz w:val="32"/>
          <w:szCs w:val="32"/>
        </w:rPr>
        <w:t>作用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具体表现</w:t>
      </w:r>
      <w:r>
        <w:rPr>
          <w:rFonts w:hint="eastAsia" w:ascii="仿宋_GB2312" w:hAnsi="仿宋_GB2312" w:eastAsia="仿宋_GB2312" w:cs="仿宋_GB2312"/>
          <w:color w:val="000000"/>
          <w:sz w:val="32"/>
          <w:szCs w:val="32"/>
          <w:lang w:eastAsia="zh-CN"/>
        </w:rPr>
        <w:t>为</w:t>
      </w:r>
      <w:r>
        <w:rPr>
          <w:rFonts w:hint="eastAsia" w:ascii="仿宋_GB2312" w:hAnsi="仿宋_GB2312" w:eastAsia="仿宋_GB2312" w:cs="仿宋_GB2312"/>
          <w:color w:val="000000"/>
          <w:sz w:val="32"/>
          <w:szCs w:val="32"/>
        </w:rPr>
        <w:t>四个方面：</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促进文化贸易降本增效。</w:t>
      </w:r>
      <w:r>
        <w:rPr>
          <w:rFonts w:hint="eastAsia" w:ascii="仿宋_GB2312" w:hAnsi="仿宋_GB2312" w:eastAsia="仿宋_GB2312" w:cs="仿宋_GB2312"/>
          <w:color w:val="000000"/>
          <w:sz w:val="32"/>
          <w:szCs w:val="32"/>
          <w:lang w:eastAsia="zh-CN"/>
        </w:rPr>
        <w:t>能够利用</w:t>
      </w:r>
      <w:r>
        <w:rPr>
          <w:rFonts w:hint="eastAsia" w:ascii="仿宋_GB2312" w:hAnsi="仿宋_GB2312" w:eastAsia="仿宋_GB2312" w:cs="仿宋_GB2312"/>
          <w:color w:val="000000"/>
          <w:sz w:val="32"/>
          <w:szCs w:val="32"/>
        </w:rPr>
        <w:t>独特的数字能力、高效的供应链协同方式，有效降低文化产品跨境交易、全球流通和传播的成本</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提高传统文化资源向文化产品的转化效率。</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创新文化产品海外传播模式。以短视频、直播、电子游戏等多元化传播矩阵输出传统文化，</w:t>
      </w:r>
      <w:r>
        <w:rPr>
          <w:rFonts w:hint="eastAsia" w:ascii="仿宋_GB2312" w:hAnsi="仿宋_GB2312" w:eastAsia="仿宋_GB2312" w:cs="仿宋_GB2312"/>
          <w:color w:val="000000"/>
          <w:sz w:val="32"/>
          <w:szCs w:val="32"/>
          <w:lang w:eastAsia="zh-CN"/>
        </w:rPr>
        <w:t>具备更强的海外传播力</w:t>
      </w:r>
      <w:r>
        <w:rPr>
          <w:rFonts w:hint="eastAsia" w:ascii="仿宋_GB2312" w:hAnsi="仿宋_GB2312" w:eastAsia="仿宋_GB2312" w:cs="仿宋_GB2312"/>
          <w:color w:val="000000"/>
          <w:sz w:val="32"/>
          <w:szCs w:val="32"/>
        </w:rPr>
        <w:t>。如脱贫攻坚剧《山海情》在全球50多个国家和地区播出，在YouTube平台上收获数亿播放量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腾讯</w:t>
      </w:r>
      <w:r>
        <w:rPr>
          <w:rFonts w:hint="eastAsia" w:ascii="仿宋_GB2312" w:hAnsi="仿宋_GB2312" w:eastAsia="仿宋_GB2312" w:cs="仿宋_GB2312"/>
          <w:color w:val="000000"/>
          <w:sz w:val="32"/>
          <w:szCs w:val="32"/>
          <w:lang w:eastAsia="zh-CN"/>
        </w:rPr>
        <w:t>游戏</w:t>
      </w:r>
      <w:r>
        <w:rPr>
          <w:rFonts w:hint="eastAsia" w:ascii="仿宋_GB2312" w:hAnsi="仿宋_GB2312" w:eastAsia="仿宋_GB2312" w:cs="仿宋_GB2312"/>
          <w:color w:val="000000"/>
          <w:sz w:val="32"/>
          <w:szCs w:val="32"/>
        </w:rPr>
        <w:t>《王者荣耀》</w:t>
      </w:r>
      <w:r>
        <w:rPr>
          <w:rFonts w:hint="eastAsia" w:ascii="仿宋_GB2312" w:hAnsi="仿宋_GB2312" w:eastAsia="仿宋_GB2312" w:cs="仿宋_GB2312"/>
          <w:color w:val="000000"/>
          <w:sz w:val="32"/>
          <w:szCs w:val="32"/>
          <w:lang w:eastAsia="zh-CN"/>
        </w:rPr>
        <w:t>今</w:t>
      </w:r>
      <w:r>
        <w:rPr>
          <w:rFonts w:hint="eastAsia" w:ascii="仿宋_GB2312" w:hAnsi="仿宋_GB2312" w:eastAsia="仿宋_GB2312" w:cs="仿宋_GB2312"/>
          <w:color w:val="000000"/>
          <w:sz w:val="32"/>
          <w:szCs w:val="32"/>
        </w:rPr>
        <w:t>年9月在App Store和Google Play吸金近1.9亿美元，蝉联全球手游畅销榜冠军。</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构建产业生态</w:t>
      </w:r>
      <w:r>
        <w:rPr>
          <w:rFonts w:hint="eastAsia" w:ascii="仿宋_GB2312" w:hAnsi="仿宋_GB2312" w:eastAsia="仿宋_GB2312" w:cs="仿宋_GB2312"/>
          <w:color w:val="000000"/>
          <w:sz w:val="32"/>
          <w:szCs w:val="32"/>
          <w:lang w:eastAsia="zh-CN"/>
        </w:rPr>
        <w:t>提升</w:t>
      </w:r>
      <w:r>
        <w:rPr>
          <w:rFonts w:hint="eastAsia" w:ascii="仿宋_GB2312" w:hAnsi="仿宋_GB2312" w:eastAsia="仿宋_GB2312" w:cs="仿宋_GB2312"/>
          <w:color w:val="000000"/>
          <w:sz w:val="32"/>
          <w:szCs w:val="32"/>
        </w:rPr>
        <w:t>文贸质量。发挥</w:t>
      </w:r>
      <w:r>
        <w:rPr>
          <w:rFonts w:hint="eastAsia" w:ascii="仿宋_GB2312" w:hAnsi="仿宋_GB2312" w:eastAsia="仿宋_GB2312" w:cs="仿宋_GB2312"/>
          <w:color w:val="000000"/>
          <w:sz w:val="32"/>
          <w:szCs w:val="32"/>
          <w:lang w:eastAsia="zh-CN"/>
        </w:rPr>
        <w:t>平台</w:t>
      </w:r>
      <w:r>
        <w:rPr>
          <w:rFonts w:hint="eastAsia" w:ascii="仿宋_GB2312" w:hAnsi="仿宋_GB2312" w:eastAsia="仿宋_GB2312" w:cs="仿宋_GB2312"/>
          <w:color w:val="000000"/>
          <w:sz w:val="32"/>
          <w:szCs w:val="32"/>
        </w:rPr>
        <w:t>和价值链优势，实现跨行业跨领域协同，形成“走出去”合力，培育</w:t>
      </w:r>
      <w:r>
        <w:rPr>
          <w:rFonts w:hint="eastAsia" w:ascii="仿宋_GB2312" w:hAnsi="仿宋_GB2312" w:eastAsia="仿宋_GB2312" w:cs="仿宋_GB2312"/>
          <w:color w:val="000000"/>
          <w:sz w:val="32"/>
          <w:szCs w:val="32"/>
          <w:lang w:eastAsia="zh-CN"/>
        </w:rPr>
        <w:t>壮大中国</w:t>
      </w:r>
      <w:r>
        <w:rPr>
          <w:rFonts w:hint="eastAsia" w:ascii="仿宋_GB2312" w:hAnsi="仿宋_GB2312" w:eastAsia="仿宋_GB2312" w:cs="仿宋_GB2312"/>
          <w:color w:val="000000"/>
          <w:sz w:val="32"/>
          <w:szCs w:val="32"/>
        </w:rPr>
        <w:t>IP，</w:t>
      </w:r>
      <w:r>
        <w:rPr>
          <w:rFonts w:hint="eastAsia" w:ascii="仿宋_GB2312" w:hAnsi="仿宋_GB2312" w:eastAsia="仿宋_GB2312" w:cs="仿宋_GB2312"/>
          <w:color w:val="000000"/>
          <w:sz w:val="32"/>
          <w:szCs w:val="32"/>
          <w:lang w:eastAsia="zh-CN"/>
        </w:rPr>
        <w:t>提升</w:t>
      </w:r>
      <w:r>
        <w:rPr>
          <w:rFonts w:hint="eastAsia" w:ascii="仿宋_GB2312" w:hAnsi="仿宋_GB2312" w:eastAsia="仿宋_GB2312" w:cs="仿宋_GB2312"/>
          <w:color w:val="000000"/>
          <w:sz w:val="32"/>
          <w:szCs w:val="32"/>
        </w:rPr>
        <w:t>文化产品附加</w:t>
      </w:r>
      <w:r>
        <w:rPr>
          <w:rFonts w:hint="eastAsia" w:ascii="仿宋_GB2312" w:hAnsi="仿宋_GB2312" w:eastAsia="仿宋_GB2312" w:cs="仿宋_GB2312"/>
          <w:color w:val="000000"/>
          <w:sz w:val="32"/>
          <w:szCs w:val="32"/>
          <w:lang w:eastAsia="zh-CN"/>
        </w:rPr>
        <w:t>价值</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促进文化贸易市场主体繁荣发展。</w:t>
      </w:r>
      <w:r>
        <w:rPr>
          <w:rFonts w:hint="eastAsia" w:ascii="仿宋_GB2312" w:hAnsi="仿宋_GB2312" w:eastAsia="仿宋_GB2312" w:cs="仿宋_GB2312"/>
          <w:color w:val="000000"/>
          <w:sz w:val="32"/>
          <w:szCs w:val="32"/>
          <w:lang w:eastAsia="zh-CN"/>
        </w:rPr>
        <w:t>数字经济企业提供</w:t>
      </w:r>
      <w:r>
        <w:rPr>
          <w:rFonts w:hint="eastAsia" w:ascii="仿宋_GB2312" w:hAnsi="仿宋_GB2312" w:eastAsia="仿宋_GB2312" w:cs="仿宋_GB2312"/>
          <w:color w:val="000000"/>
          <w:sz w:val="32"/>
          <w:szCs w:val="32"/>
        </w:rPr>
        <w:t>开放服务体系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以数字化解决方案</w:t>
      </w:r>
      <w:r>
        <w:rPr>
          <w:rFonts w:hint="eastAsia" w:ascii="仿宋_GB2312" w:hAnsi="仿宋_GB2312" w:eastAsia="仿宋_GB2312" w:cs="仿宋_GB2312"/>
          <w:color w:val="000000"/>
          <w:sz w:val="32"/>
          <w:szCs w:val="32"/>
          <w:lang w:eastAsia="zh-CN"/>
        </w:rPr>
        <w:t>引领支撑</w:t>
      </w:r>
      <w:r>
        <w:rPr>
          <w:rFonts w:hint="eastAsia" w:ascii="仿宋_GB2312" w:hAnsi="仿宋_GB2312" w:eastAsia="仿宋_GB2312" w:cs="仿宋_GB2312"/>
          <w:color w:val="000000"/>
          <w:sz w:val="32"/>
          <w:szCs w:val="32"/>
        </w:rPr>
        <w:t>中小微文化贸易企业</w:t>
      </w:r>
      <w:r>
        <w:rPr>
          <w:rFonts w:hint="eastAsia" w:ascii="仿宋_GB2312" w:hAnsi="仿宋_GB2312" w:eastAsia="仿宋_GB2312" w:cs="仿宋_GB2312"/>
          <w:color w:val="000000"/>
          <w:sz w:val="32"/>
          <w:szCs w:val="32"/>
          <w:lang w:eastAsia="zh-CN"/>
        </w:rPr>
        <w:t>实现</w:t>
      </w:r>
      <w:r>
        <w:rPr>
          <w:rFonts w:hint="eastAsia" w:ascii="仿宋_GB2312" w:hAnsi="仿宋_GB2312" w:eastAsia="仿宋_GB2312" w:cs="仿宋_GB2312"/>
          <w:color w:val="000000"/>
          <w:sz w:val="32"/>
          <w:szCs w:val="32"/>
        </w:rPr>
        <w:t>数字化转型，突破资金、技术、市场、人才制约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解决出口渠道不畅、海外拓展能力不足等问题。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二、相关建议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深圳数字经济产业发展领跑全国，2021年数字经济核心产业增加值突破9000亿元，占全市GDP比重30.5%，规模和质量居全国大中城市首位，并培育出华为、中兴通讯、腾讯等一批具有核心竞争力的数字经济生态主导型企业，应充分利用好数字经济产业的雄厚基础和文化产业的强大潜力，加快两者相融相促，为我市文化贸易繁荣再赋新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sz w:val="32"/>
          <w:szCs w:val="32"/>
          <w:lang w:eastAsia="zh-CN"/>
        </w:rPr>
      </w:pPr>
      <w:r>
        <w:rPr>
          <w:rFonts w:hint="eastAsia" w:ascii="CESI楷体-GB2312" w:hAnsi="CESI楷体-GB2312" w:eastAsia="CESI楷体-GB2312" w:cs="CESI楷体-GB2312"/>
          <w:b/>
          <w:bCs/>
          <w:color w:val="000000"/>
          <w:sz w:val="32"/>
          <w:szCs w:val="32"/>
          <w:lang w:val="en-US" w:eastAsia="zh-CN"/>
        </w:rPr>
        <w:t>建议加快文化产业数字化进程。</w:t>
      </w:r>
      <w:r>
        <w:rPr>
          <w:rFonts w:hint="eastAsia" w:ascii="仿宋_GB2312" w:hAnsi="仿宋_GB2312" w:eastAsia="仿宋_GB2312" w:cs="仿宋_GB2312"/>
          <w:color w:val="000000"/>
          <w:sz w:val="32"/>
          <w:szCs w:val="32"/>
          <w:lang w:eastAsia="zh-CN"/>
        </w:rPr>
        <w:t>充分发挥“文博会”、“图书月”等重要展会和活动的平台作用，积极引进和培育更多数字文化类企业，推动大型数字经济企业与更多文化品牌合作对接，加大对优质文化产品“出海”项目的资金支持，构建大企业赋能中小企业、中小企业推动大企业的协同发展格局，打造数字技术与优秀文化深度融合的产业生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lang w:val="en-US" w:eastAsia="zh-CN"/>
        </w:rPr>
        <w:t>建议加强数字技术研发创新。</w:t>
      </w:r>
      <w:r>
        <w:rPr>
          <w:rFonts w:hint="eastAsia" w:ascii="仿宋_GB2312" w:hAnsi="仿宋_GB2312" w:eastAsia="仿宋_GB2312" w:cs="仿宋_GB2312"/>
          <w:color w:val="000000"/>
          <w:sz w:val="32"/>
          <w:szCs w:val="32"/>
          <w:lang w:eastAsia="zh-CN"/>
        </w:rPr>
        <w:t>在利用</w:t>
      </w:r>
      <w:r>
        <w:rPr>
          <w:rFonts w:hint="eastAsia" w:ascii="仿宋_GB2312" w:hAnsi="仿宋_GB2312" w:eastAsia="仿宋_GB2312" w:cs="仿宋_GB2312"/>
          <w:color w:val="000000"/>
          <w:sz w:val="32"/>
          <w:szCs w:val="32"/>
          <w:lang w:val="en-US" w:eastAsia="zh-CN"/>
        </w:rPr>
        <w:t>VR、AR、NFT等新技术推动数字文化产品展示和交易模式创新的同时，</w:t>
      </w:r>
      <w:r>
        <w:rPr>
          <w:rFonts w:hint="eastAsia" w:ascii="仿宋_GB2312" w:hAnsi="仿宋_GB2312" w:eastAsia="仿宋_GB2312" w:cs="仿宋_GB2312"/>
          <w:color w:val="000000"/>
          <w:sz w:val="32"/>
          <w:szCs w:val="32"/>
          <w:lang w:eastAsia="zh-CN"/>
        </w:rPr>
        <w:t>为文化贸易市场主体权益提供技术保障。例如，应用</w:t>
      </w:r>
      <w:r>
        <w:rPr>
          <w:rFonts w:hint="eastAsia" w:ascii="仿宋_GB2312" w:hAnsi="仿宋_GB2312" w:eastAsia="仿宋_GB2312" w:cs="仿宋_GB2312"/>
          <w:color w:val="000000"/>
          <w:sz w:val="32"/>
          <w:szCs w:val="32"/>
        </w:rPr>
        <w:t>区块链技术保护文化贸易知识产权，规范全球文化产品交易安全，</w:t>
      </w:r>
      <w:r>
        <w:rPr>
          <w:rFonts w:hint="eastAsia" w:ascii="仿宋_GB2312" w:hAnsi="仿宋_GB2312" w:eastAsia="仿宋_GB2312" w:cs="仿宋_GB2312"/>
          <w:color w:val="000000"/>
          <w:sz w:val="32"/>
          <w:szCs w:val="32"/>
          <w:lang w:eastAsia="zh-CN"/>
        </w:rPr>
        <w:t>保护我市</w:t>
      </w:r>
      <w:r>
        <w:rPr>
          <w:rFonts w:hint="eastAsia" w:ascii="仿宋_GB2312" w:hAnsi="仿宋_GB2312" w:eastAsia="仿宋_GB2312" w:cs="仿宋_GB2312"/>
          <w:color w:val="000000"/>
          <w:sz w:val="32"/>
          <w:szCs w:val="32"/>
        </w:rPr>
        <w:t>文化主体创新创造活力。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sz w:val="32"/>
          <w:szCs w:val="32"/>
          <w:lang w:eastAsia="zh-CN"/>
        </w:rPr>
      </w:pPr>
      <w:r>
        <w:rPr>
          <w:rFonts w:hint="eastAsia" w:ascii="CESI楷体-GB2312" w:hAnsi="CESI楷体-GB2312" w:eastAsia="CESI楷体-GB2312" w:cs="CESI楷体-GB2312"/>
          <w:b/>
          <w:bCs/>
          <w:color w:val="000000"/>
          <w:sz w:val="32"/>
          <w:szCs w:val="32"/>
          <w:lang w:val="en-US" w:eastAsia="zh-CN"/>
        </w:rPr>
        <w:t>建议优化数字经济发展环境。</w:t>
      </w:r>
      <w:r>
        <w:rPr>
          <w:rFonts w:hint="eastAsia" w:ascii="仿宋_GB2312" w:hAnsi="仿宋_GB2312" w:eastAsia="仿宋_GB2312" w:cs="仿宋_GB2312"/>
          <w:color w:val="000000"/>
          <w:sz w:val="32"/>
          <w:szCs w:val="32"/>
          <w:lang w:eastAsia="zh-CN"/>
        </w:rPr>
        <w:t>推动</w:t>
      </w:r>
      <w:r>
        <w:rPr>
          <w:rFonts w:hint="eastAsia" w:ascii="仿宋_GB2312" w:hAnsi="仿宋_GB2312" w:eastAsia="仿宋_GB2312" w:cs="仿宋_GB2312"/>
          <w:color w:val="000000"/>
          <w:sz w:val="32"/>
          <w:szCs w:val="32"/>
          <w:lang w:val="en-US" w:eastAsia="zh-CN"/>
        </w:rPr>
        <w:t>2022</w:t>
      </w:r>
      <w:r>
        <w:rPr>
          <w:rFonts w:hint="eastAsia" w:ascii="仿宋_GB2312" w:hAnsi="仿宋_GB2312" w:eastAsia="仿宋_GB2312" w:cs="仿宋_GB2312"/>
          <w:color w:val="000000"/>
          <w:sz w:val="32"/>
          <w:szCs w:val="32"/>
          <w:lang w:eastAsia="zh-CN"/>
        </w:rPr>
        <w:t>年出台的《深圳经济特区数字经济产业促进条例》扎实落地，确保数据要素实现高效配置，鼓励我市数字经济企业在合法合规范围内为文化贸易促进发挥最大能动性。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中国企业“走出去”的痛点和应对建议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CESI楷体-GB2312" w:hAnsi="CESI楷体-GB2312" w:eastAsia="CESI楷体-GB2312" w:cs="CESI楷体-GB2312"/>
          <w:color w:val="000000"/>
          <w:sz w:val="32"/>
          <w:szCs w:val="32"/>
          <w:lang w:val="en-US" w:eastAsia="zh-CN"/>
        </w:rPr>
      </w:pPr>
      <w:r>
        <w:rPr>
          <w:rFonts w:hint="eastAsia" w:ascii="CESI楷体-GB2312" w:hAnsi="CESI楷体-GB2312" w:eastAsia="CESI楷体-GB2312" w:cs="CESI楷体-GB2312"/>
          <w:color w:val="000000"/>
          <w:sz w:val="32"/>
          <w:szCs w:val="32"/>
          <w:lang w:val="en-US" w:eastAsia="zh-CN"/>
        </w:rPr>
        <w:t>深圳市贸促委企业国际化经营合规专家委员会\天元(深圳)律师事务所律师、合伙人  高文杰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eastAsia="zh-CN"/>
        </w:rPr>
        <w:t>一、研究</w:t>
      </w:r>
      <w:r>
        <w:rPr>
          <w:rFonts w:hint="eastAsia" w:ascii="方正黑体_GBK" w:hAnsi="方正黑体_GBK" w:eastAsia="方正黑体_GBK" w:cs="方正黑体_GBK"/>
          <w:color w:val="000000"/>
          <w:sz w:val="32"/>
          <w:szCs w:val="32"/>
        </w:rPr>
        <w:t>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国家提出的“走出去”发展战略，截至2020年底，中国2.8万家境内投资者在全球189个国家(地区)设立对外直接投资企业4.5万家，全球80%以上国家(地区)都有中国的投资，年末境外企业资产总额7.9万亿美元。中国在“一带一路”沿线国家设立境外企业超过1.1万家，2020年当年实现直接投资225.4亿美元；2013至2020年中国对沿线国家累计直接投资1398.5亿美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2021年度，根据《国际商会仲裁规则》新登记案件涉及143个国家和地区的2,206位当事人。来自美国、巴西、西班牙、阿拉伯联合酋长国和墨西哥的当事人数量分别位列第一至第五名，法国、德国、中国大陆和中国香港特别行政区、印度和意大利的当事人位列前十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香港国际仲裁中心2021年新受理国际仲裁案件超过400宗，涉及41个国家或地区的当事人。按案件数量排列，排名前 10 的国家或地区为：香港、中国内地、英属维尔京群岛、开曼群岛、美国、新加坡、韩国、英国、日本和塞舌尔。2021年启动的机构仲裁案件中，78.7%以英文进行，15.8%以中文进行，5.5%以中英双语进行。2021年HKIAC共作出了142项仲裁员的指定。被HKIAC指定的仲裁员中来自中国内地有8宗，占所有指定的5.6%</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新加坡国际仲裁中心2021年新受理的国际仲裁案件数量为405宗，其中涉及中国大陆的有94宗，在国别数量中高居第二位，来自中国香港的有80宗，紧跟其后为第三名。共有371 项仲裁员的委任或指定，委任或指定中国大陆人士担任仲裁员的有10宗。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中国仲裁法学研究会的一项研究显示，中国企业在海外仲裁中高比例的案件没有胜诉。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企业“走出去”是我们的必然选择，“走出去”遇到各种风险，尤其法律风险和争端，也是必然的。我们一方面需要吸取过往的经验教训，更重要的是正视眼下，着眼未来，防范和化解风险，最大程度的减少或降低对中国企业的损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eastAsia="zh-CN"/>
        </w:rPr>
        <w:t>二、</w:t>
      </w:r>
      <w:r>
        <w:rPr>
          <w:rFonts w:hint="eastAsia" w:ascii="方正黑体_GBK" w:hAnsi="方正黑体_GBK" w:eastAsia="方正黑体_GBK" w:cs="方正黑体_GBK"/>
          <w:color w:val="000000"/>
          <w:sz w:val="32"/>
          <w:szCs w:val="32"/>
        </w:rPr>
        <w:t>痛点和典型问题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方正楷体_GBK" w:hAnsi="方正楷体_GBK" w:eastAsia="方正楷体_GBK" w:cs="方正楷体_GBK"/>
          <w:b/>
          <w:bCs/>
          <w:color w:val="000000"/>
          <w:sz w:val="32"/>
          <w:szCs w:val="32"/>
        </w:rPr>
        <w:t>瑕疵仲裁条款</w:t>
      </w:r>
      <w:r>
        <w:rPr>
          <w:rFonts w:hint="eastAsia" w:ascii="方正楷体_GBK" w:hAnsi="方正楷体_GBK" w:eastAsia="方正楷体_GBK" w:cs="方正楷体_GBK"/>
          <w:b/>
          <w:bCs/>
          <w:color w:val="000000"/>
          <w:sz w:val="32"/>
          <w:szCs w:val="32"/>
          <w:lang w:eastAsia="zh-CN"/>
        </w:rPr>
        <w:t>。</w:t>
      </w:r>
      <w:r>
        <w:rPr>
          <w:rFonts w:hint="eastAsia" w:ascii="仿宋_GB2312" w:hAnsi="仿宋_GB2312" w:eastAsia="仿宋_GB2312" w:cs="仿宋_GB2312"/>
          <w:color w:val="000000"/>
          <w:sz w:val="32"/>
          <w:szCs w:val="32"/>
        </w:rPr>
        <w:t>除了法院诉讼，国际仲裁是解决国际争端的一种重要途径。据笔者从事国际仲裁的实践和切身体验，仲裁条款效力或仲裁庭管辖权问题有时候是一个很复杂的问题，博弈一方出于诉讼策略的考虑等，往往会主动单独发起挑战，使案件进入实体审理前就必须先予解决，这一场“大战”耗时耗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成本</w:t>
      </w:r>
      <w:r>
        <w:rPr>
          <w:rFonts w:hint="eastAsia" w:ascii="仿宋_GB2312" w:hAnsi="仿宋_GB2312" w:eastAsia="仿宋_GB2312" w:cs="仿宋_GB2312"/>
          <w:color w:val="000000"/>
          <w:sz w:val="32"/>
          <w:szCs w:val="32"/>
          <w:lang w:eastAsia="zh-CN"/>
        </w:rPr>
        <w:t>很</w:t>
      </w:r>
      <w:r>
        <w:rPr>
          <w:rFonts w:hint="eastAsia" w:ascii="仿宋_GB2312" w:hAnsi="仿宋_GB2312" w:eastAsia="仿宋_GB2312" w:cs="仿宋_GB2312"/>
          <w:color w:val="000000"/>
          <w:sz w:val="32"/>
          <w:szCs w:val="32"/>
        </w:rPr>
        <w:t>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当事人，尤其对中方当事人而言，简直是一场“恶战”或“噩梦”。实践中，国际商事合同中经常出现瑕疵仲裁条款，致使我方在仲裁庭管辖权问题的审理中比较被动，从而影响后续仲裁程序中对实体权利的主张，甚至难以或无法主张。常见的问题主要是合同适用法律为外国法，合同中的仲裁条款约定的仲裁机构、仲裁规则不明确，没有约定仲裁地点、仲裁员的委任和更换方式、仲裁语言、仲裁条款准据法，主合同约定了仲裁条款但从合同(包括担保函，担保合同)等</w:t>
      </w:r>
      <w:bookmarkStart w:id="0" w:name="OLE_LINK16"/>
      <w:r>
        <w:rPr>
          <w:rFonts w:hint="eastAsia" w:ascii="仿宋_GB2312" w:hAnsi="仿宋_GB2312" w:eastAsia="仿宋_GB2312" w:cs="仿宋_GB2312"/>
          <w:color w:val="000000"/>
          <w:sz w:val="32"/>
          <w:szCs w:val="32"/>
        </w:rPr>
        <w:t>没有</w:t>
      </w:r>
      <w:bookmarkEnd w:id="0"/>
      <w:r>
        <w:rPr>
          <w:rFonts w:hint="eastAsia" w:ascii="仿宋_GB2312" w:hAnsi="仿宋_GB2312" w:eastAsia="仿宋_GB2312" w:cs="仿宋_GB2312"/>
          <w:color w:val="000000"/>
          <w:sz w:val="32"/>
          <w:szCs w:val="32"/>
        </w:rPr>
        <w:t>约定仲裁条款，系列合同中各自约定的争议解决条款不完全一致等。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中英文文本意思不一致</w:t>
      </w:r>
      <w:r>
        <w:rPr>
          <w:rFonts w:hint="eastAsia" w:ascii="CESI楷体-GB2312" w:hAnsi="CESI楷体-GB2312" w:eastAsia="CESI楷体-GB2312" w:cs="CESI楷体-GB2312"/>
          <w:b/>
          <w:bCs/>
          <w:color w:val="000000"/>
          <w:sz w:val="32"/>
          <w:szCs w:val="32"/>
          <w:lang w:eastAsia="zh-CN"/>
        </w:rPr>
        <w:t>。</w:t>
      </w:r>
      <w:r>
        <w:rPr>
          <w:rFonts w:hint="eastAsia" w:ascii="仿宋_GB2312" w:hAnsi="仿宋_GB2312" w:eastAsia="仿宋_GB2312" w:cs="仿宋_GB2312"/>
          <w:color w:val="000000"/>
          <w:sz w:val="32"/>
          <w:szCs w:val="32"/>
        </w:rPr>
        <w:t>法律术语的专业度、准确度要求比普通日常用语高很多，不少企业对外签署的合同是由公司内部业务部门或法务部门拟定，因缺乏经验，其</w:t>
      </w:r>
      <w:r>
        <w:rPr>
          <w:rFonts w:hint="eastAsia" w:ascii="仿宋_GB2312" w:hAnsi="仿宋_GB2312" w:eastAsia="仿宋_GB2312" w:cs="仿宋_GB2312"/>
          <w:color w:val="000000"/>
          <w:sz w:val="32"/>
          <w:szCs w:val="32"/>
          <w:lang w:eastAsia="zh-CN"/>
        </w:rPr>
        <w:t>中的</w:t>
      </w:r>
      <w:r>
        <w:rPr>
          <w:rFonts w:hint="eastAsia" w:ascii="仿宋_GB2312" w:hAnsi="仿宋_GB2312" w:eastAsia="仿宋_GB2312" w:cs="仿宋_GB2312"/>
          <w:color w:val="000000"/>
          <w:sz w:val="32"/>
          <w:szCs w:val="32"/>
        </w:rPr>
        <w:t>中英文文本常常出现意思表示不一致，或不完全一致，</w:t>
      </w:r>
      <w:r>
        <w:rPr>
          <w:rFonts w:hint="eastAsia" w:ascii="仿宋_GB2312" w:hAnsi="仿宋_GB2312" w:eastAsia="仿宋_GB2312" w:cs="仿宋_GB2312"/>
          <w:color w:val="000000"/>
          <w:sz w:val="32"/>
          <w:szCs w:val="32"/>
          <w:lang w:eastAsia="zh-CN"/>
        </w:rPr>
        <w:t>甚至</w:t>
      </w:r>
      <w:r>
        <w:rPr>
          <w:rFonts w:hint="eastAsia" w:ascii="仿宋_GB2312" w:hAnsi="仿宋_GB2312" w:eastAsia="仿宋_GB2312" w:cs="仿宋_GB2312"/>
          <w:color w:val="000000"/>
          <w:sz w:val="32"/>
          <w:szCs w:val="32"/>
        </w:rPr>
        <w:t>相冲突的情形，从而造成双方对同一问题理解不同，“公说公有理，婆说婆有理”，很容易产生纠纷。而在国际仲裁中，目前主流的仲裁庭主要是英国人或使用英文的外国人组成，他们并没有对中文经过专业的学习，或仅仅是大致理解，在意思出现歧义，自然依据英文的意思进行裁判，其结果往往是有利于外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合同履行中的证据留存管理工作不够完善细致</w:t>
      </w:r>
      <w:r>
        <w:rPr>
          <w:rFonts w:hint="eastAsia" w:ascii="CESI楷体-GB2312" w:hAnsi="CESI楷体-GB2312" w:eastAsia="CESI楷体-GB2312" w:cs="CESI楷体-GB2312"/>
          <w:b/>
          <w:bCs/>
          <w:color w:val="000000"/>
          <w:sz w:val="32"/>
          <w:szCs w:val="32"/>
          <w:lang w:eastAsia="zh-CN"/>
        </w:rPr>
        <w:t>。</w:t>
      </w:r>
      <w:r>
        <w:rPr>
          <w:rFonts w:hint="eastAsia" w:ascii="仿宋_GB2312" w:hAnsi="仿宋_GB2312" w:eastAsia="仿宋_GB2312" w:cs="仿宋_GB2312"/>
          <w:color w:val="000000"/>
          <w:sz w:val="32"/>
          <w:szCs w:val="32"/>
        </w:rPr>
        <w:t>国内不少公司对已正式签署的合同会妥善保管和管理，而对合同缔约前、合同履行中的文件，包括往来电邮、会议记录等的管理不够重视，尤其是涉及合同变更或合同迟延履行等情形的，书面记录不完整或不准确，导致常常出现案件事实难以复原，有苦说不出，主张难以获得证据支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w w:val="99"/>
          <w:sz w:val="32"/>
          <w:szCs w:val="32"/>
        </w:rPr>
      </w:pPr>
      <w:r>
        <w:rPr>
          <w:rFonts w:hint="eastAsia" w:ascii="CESI楷体-GB2312" w:hAnsi="CESI楷体-GB2312" w:eastAsia="CESI楷体-GB2312" w:cs="CESI楷体-GB2312"/>
          <w:b/>
          <w:bCs/>
          <w:color w:val="000000"/>
          <w:sz w:val="32"/>
          <w:szCs w:val="32"/>
        </w:rPr>
        <w:t>诉前应对措施欠明智</w:t>
      </w:r>
      <w:r>
        <w:rPr>
          <w:rFonts w:hint="eastAsia" w:ascii="CESI楷体-GB2312" w:hAnsi="CESI楷体-GB2312" w:eastAsia="CESI楷体-GB2312" w:cs="CESI楷体-GB2312"/>
          <w:b/>
          <w:bCs/>
          <w:color w:val="000000"/>
          <w:sz w:val="32"/>
          <w:szCs w:val="32"/>
          <w:lang w:eastAsia="zh-CN"/>
        </w:rPr>
        <w:t>。</w:t>
      </w:r>
      <w:r>
        <w:rPr>
          <w:rFonts w:hint="eastAsia" w:ascii="仿宋_GB2312" w:hAnsi="仿宋_GB2312" w:eastAsia="仿宋_GB2312" w:cs="仿宋_GB2312"/>
          <w:color w:val="000000"/>
          <w:sz w:val="32"/>
          <w:szCs w:val="32"/>
        </w:rPr>
        <w:t>一旦发生争议后，中方当事人常常容易首先、主动声明解除合同，似乎在宣示“正义”。然而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解除合同是个非常复杂的专业问题，在不同国家的法律下，有不同的规定和条件。过于轻率地提出解除合同，将致使后续案</w:t>
      </w:r>
      <w:r>
        <w:rPr>
          <w:rFonts w:hint="eastAsia" w:ascii="仿宋_GB2312" w:hAnsi="仿宋_GB2312" w:eastAsia="仿宋_GB2312" w:cs="仿宋_GB2312"/>
          <w:color w:val="000000"/>
          <w:w w:val="99"/>
          <w:sz w:val="32"/>
          <w:szCs w:val="32"/>
        </w:rPr>
        <w:t>件中我方承担的举证责任很重，很不利于我方诉讼策略的选择。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应诉重视程度不够</w:t>
      </w:r>
      <w:r>
        <w:rPr>
          <w:rFonts w:hint="eastAsia" w:ascii="CESI楷体-GB2312" w:hAnsi="CESI楷体-GB2312" w:eastAsia="CESI楷体-GB2312" w:cs="CESI楷体-GB2312"/>
          <w:b/>
          <w:bCs/>
          <w:color w:val="000000"/>
          <w:sz w:val="32"/>
          <w:szCs w:val="32"/>
          <w:lang w:eastAsia="zh-CN"/>
        </w:rPr>
        <w:t>。</w:t>
      </w:r>
      <w:r>
        <w:rPr>
          <w:rFonts w:hint="eastAsia" w:ascii="仿宋_GB2312" w:hAnsi="仿宋_GB2312" w:eastAsia="仿宋_GB2312" w:cs="仿宋_GB2312"/>
          <w:color w:val="000000"/>
          <w:sz w:val="32"/>
          <w:szCs w:val="32"/>
        </w:rPr>
        <w:t>国内公司参与国际争议解决，尤其是应诉的积极性不高，除极少数跨国公司。国内不少公司对国际争端解决没有太多经验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遇到国际纠纷，要</w:t>
      </w:r>
      <w:r>
        <w:rPr>
          <w:rFonts w:hint="eastAsia" w:ascii="仿宋_GB2312" w:hAnsi="仿宋_GB2312" w:eastAsia="仿宋_GB2312" w:cs="仿宋_GB2312"/>
          <w:color w:val="000000"/>
          <w:sz w:val="32"/>
          <w:szCs w:val="32"/>
          <w:lang w:eastAsia="zh-CN"/>
        </w:rPr>
        <w:t>么</w:t>
      </w:r>
      <w:r>
        <w:rPr>
          <w:rFonts w:hint="eastAsia" w:ascii="仿宋_GB2312" w:hAnsi="仿宋_GB2312" w:eastAsia="仿宋_GB2312" w:cs="仿宋_GB2312"/>
          <w:color w:val="000000"/>
          <w:sz w:val="32"/>
          <w:szCs w:val="32"/>
        </w:rPr>
        <w:t>弃之不理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自认倒霉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要</w:t>
      </w:r>
      <w:r>
        <w:rPr>
          <w:rFonts w:hint="eastAsia" w:ascii="仿宋_GB2312" w:hAnsi="仿宋_GB2312" w:eastAsia="仿宋_GB2312" w:cs="仿宋_GB2312"/>
          <w:color w:val="000000"/>
          <w:sz w:val="32"/>
          <w:szCs w:val="32"/>
          <w:lang w:eastAsia="zh-CN"/>
        </w:rPr>
        <w:t>么</w:t>
      </w:r>
      <w:r>
        <w:rPr>
          <w:rFonts w:hint="eastAsia" w:ascii="仿宋_GB2312" w:hAnsi="仿宋_GB2312" w:eastAsia="仿宋_GB2312" w:cs="仿宋_GB2312"/>
          <w:color w:val="000000"/>
          <w:sz w:val="32"/>
          <w:szCs w:val="32"/>
        </w:rPr>
        <w:t>放弃抵抗</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听之任之。就算对方诉诸法律，国内公司仍存有侥幸心理，有意选择缺席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不应诉。</w:t>
      </w:r>
      <w:r>
        <w:rPr>
          <w:rFonts w:hint="eastAsia" w:ascii="仿宋_GB2312" w:hAnsi="仿宋_GB2312" w:eastAsia="仿宋_GB2312" w:cs="仿宋_GB2312"/>
          <w:color w:val="000000"/>
          <w:sz w:val="32"/>
          <w:szCs w:val="32"/>
          <w:lang w:eastAsia="zh-CN"/>
        </w:rPr>
        <w:t>其</w:t>
      </w:r>
      <w:r>
        <w:rPr>
          <w:rFonts w:hint="eastAsia" w:ascii="仿宋_GB2312" w:hAnsi="仿宋_GB2312" w:eastAsia="仿宋_GB2312" w:cs="仿宋_GB2312"/>
          <w:color w:val="000000"/>
          <w:sz w:val="32"/>
          <w:szCs w:val="32"/>
        </w:rPr>
        <w:t>结果自然可想而知，几乎是100%败诉。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作战难度评估不足</w:t>
      </w:r>
      <w:r>
        <w:rPr>
          <w:rFonts w:hint="eastAsia" w:ascii="CESI楷体-GB2312" w:hAnsi="CESI楷体-GB2312" w:eastAsia="CESI楷体-GB2312" w:cs="CESI楷体-GB2312"/>
          <w:b/>
          <w:bCs/>
          <w:color w:val="000000"/>
          <w:sz w:val="32"/>
          <w:szCs w:val="32"/>
          <w:lang w:eastAsia="zh-CN"/>
        </w:rPr>
        <w:t>。</w:t>
      </w:r>
      <w:r>
        <w:rPr>
          <w:rFonts w:hint="eastAsia" w:ascii="仿宋_GB2312" w:hAnsi="仿宋_GB2312" w:eastAsia="仿宋_GB2312" w:cs="仿宋_GB2312"/>
          <w:color w:val="000000"/>
          <w:sz w:val="32"/>
          <w:szCs w:val="32"/>
        </w:rPr>
        <w:t>不少企业对作战的难度认识不足。国际仲裁与国内仲裁存在很大的差异，前者程序设计基本采用《联合国贸易法委员会国际商事仲裁示范法》的规定，大量吸收了英美法系程序法规则，尤其是严格遵循当事人中心主义，“不告不理”，需要当事人自己全面详细的陈述自己的所有主张和理由，另一方需要对对方的主张进行对应的，“点对点”的抗辩和/或提出反请求等，对文书的精细度要求很高，而且还有繁杂的证据披露环节，充满对抗意味的证人盘问等。这些决定了案件的处理难度比国内案件大很多，审理时间较长，工作量也很大。通常而言，单靠国内企业内部法务的力量去应诉或起诉，是难以应付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对法律费用的管理思维存在偏差</w:t>
      </w:r>
      <w:r>
        <w:rPr>
          <w:rFonts w:hint="eastAsia" w:ascii="CESI楷体-GB2312" w:hAnsi="CESI楷体-GB2312" w:eastAsia="CESI楷体-GB2312" w:cs="CESI楷体-GB2312"/>
          <w:b/>
          <w:bCs/>
          <w:color w:val="000000"/>
          <w:sz w:val="32"/>
          <w:szCs w:val="32"/>
          <w:lang w:eastAsia="zh-CN"/>
        </w:rPr>
        <w:t>。</w:t>
      </w:r>
      <w:r>
        <w:rPr>
          <w:rFonts w:hint="eastAsia" w:ascii="仿宋_GB2312" w:hAnsi="仿宋_GB2312" w:eastAsia="仿宋_GB2312" w:cs="仿宋_GB2312"/>
          <w:color w:val="000000"/>
          <w:sz w:val="32"/>
          <w:szCs w:val="32"/>
        </w:rPr>
        <w:t>在国际仲裁中，通常是败诉方承担全部法律费用，包括对方的律师费、仲裁庭的费用、仲裁机构的管理费用以及专家证人等的费用。在案件的前期和最初阶段，不少公司以及公司领导对案件很重视，广为遴选律师，主要是看各家律所的报价方案，其中低价是遴选的最重要标准和要求。实践中，在案件办理过程中发生当初报价时难以预估的情况是正常，这将造成最初设定的较低预算不足，容易与代理律师发生冲突和矛盾。若互不妥协或理解，看似手握主动权的客户甚至中途更换律师。这对案件的管理及结果会造成很大的负面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方正黑体_GBK" w:hAnsi="方正黑体_GBK" w:eastAsia="方正黑体_GBK" w:cs="方正黑体_GBK"/>
          <w:color w:val="000000"/>
          <w:sz w:val="32"/>
          <w:szCs w:val="32"/>
          <w:lang w:eastAsia="zh-CN"/>
        </w:rPr>
        <w:t>三、</w:t>
      </w:r>
      <w:r>
        <w:rPr>
          <w:rFonts w:hint="eastAsia" w:ascii="方正黑体_GBK" w:hAnsi="方正黑体_GBK" w:eastAsia="方正黑体_GBK" w:cs="方正黑体_GBK"/>
          <w:color w:val="000000"/>
          <w:sz w:val="32"/>
          <w:szCs w:val="32"/>
        </w:rPr>
        <w:t>应对建议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中国律师全程参与</w:t>
      </w:r>
      <w:r>
        <w:rPr>
          <w:rFonts w:hint="eastAsia" w:ascii="CESI楷体-GB2312" w:hAnsi="CESI楷体-GB2312" w:eastAsia="CESI楷体-GB2312" w:cs="CESI楷体-GB2312"/>
          <w:b/>
          <w:bCs/>
          <w:color w:val="000000"/>
          <w:sz w:val="32"/>
          <w:szCs w:val="32"/>
          <w:lang w:eastAsia="zh-CN"/>
        </w:rPr>
        <w:t>。</w:t>
      </w:r>
      <w:r>
        <w:rPr>
          <w:rFonts w:hint="eastAsia" w:ascii="仿宋_GB2312" w:hAnsi="仿宋_GB2312" w:eastAsia="仿宋_GB2312" w:cs="仿宋_GB2312"/>
          <w:color w:val="000000"/>
          <w:sz w:val="32"/>
          <w:szCs w:val="32"/>
        </w:rPr>
        <w:t>“术业有专攻”，各国法律的差异性，文化的差异性以及语言的壁垒，由企业人员直接与外方及其律师谈判、厘定法律文件显然是不切实际的，甚至是不可能完成的任务。而且，合同签署后履行过程中，面对变化的情势，如何保证中方的权利不过于受到损害，如何争取法律权利的最大化，如何将中方的想法，包括来自</w:t>
      </w:r>
      <w:r>
        <w:rPr>
          <w:rFonts w:hint="eastAsia" w:ascii="仿宋_GB2312" w:hAnsi="仿宋_GB2312" w:eastAsia="仿宋_GB2312" w:cs="仿宋_GB2312"/>
          <w:color w:val="000000"/>
          <w:sz w:val="32"/>
          <w:szCs w:val="32"/>
          <w:lang w:eastAsia="zh-CN"/>
        </w:rPr>
        <w:t>管理层</w:t>
      </w:r>
      <w:r>
        <w:rPr>
          <w:rFonts w:hint="eastAsia" w:ascii="仿宋_GB2312" w:hAnsi="仿宋_GB2312" w:eastAsia="仿宋_GB2312" w:cs="仿宋_GB2312"/>
          <w:color w:val="000000"/>
          <w:sz w:val="32"/>
          <w:szCs w:val="32"/>
        </w:rPr>
        <w:t>的想法准确而恰当地通过英文转达给对方等，都需要专业律师，尤其是中国律师的协助。因此，中国律师从项目之初就需要参与其中是有必要的，是值得企业重视和应用的。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仲裁条款的草拟，发挥主场优势</w:t>
      </w:r>
      <w:r>
        <w:rPr>
          <w:rFonts w:hint="eastAsia" w:ascii="CESI楷体-GB2312" w:hAnsi="CESI楷体-GB2312" w:eastAsia="CESI楷体-GB2312" w:cs="CESI楷体-GB2312"/>
          <w:b/>
          <w:bCs/>
          <w:color w:val="000000"/>
          <w:sz w:val="32"/>
          <w:szCs w:val="32"/>
          <w:lang w:eastAsia="zh-CN"/>
        </w:rPr>
        <w:t>。</w:t>
      </w:r>
      <w:r>
        <w:rPr>
          <w:rFonts w:hint="eastAsia" w:ascii="仿宋_GB2312" w:hAnsi="仿宋_GB2312" w:eastAsia="仿宋_GB2312" w:cs="仿宋_GB2312"/>
          <w:color w:val="000000"/>
          <w:sz w:val="32"/>
          <w:szCs w:val="32"/>
        </w:rPr>
        <w:t>首先，选定仲裁机构，不宜选择临时仲裁。对于从事商事活动的各种主体，尤其是从事国际商事活动，但缺乏国际仲裁经验的当事人，在机构仲裁和临时仲裁之间，基于我们的文化和习惯，通常建议选择机构仲裁。在选择国际仲裁机构时，不仅应考虑其信誉和专业管理能力，若可能，则选实行核阅制的仲裁机构，最好是选择国内的有管理国际仲裁经验的仲裁机构，比如深圳国际仲裁院</w:t>
      </w:r>
      <w:r>
        <w:rPr>
          <w:rFonts w:hint="eastAsia" w:ascii="仿宋_GB2312" w:hAnsi="仿宋_GB2312" w:eastAsia="仿宋_GB2312" w:cs="仿宋_GB2312"/>
          <w:color w:val="000000"/>
          <w:sz w:val="32"/>
          <w:szCs w:val="32"/>
          <w:lang w:eastAsia="zh-CN"/>
        </w:rPr>
        <w:t>、贸促仲裁</w:t>
      </w:r>
      <w:r>
        <w:rPr>
          <w:rFonts w:hint="eastAsia" w:ascii="仿宋_GB2312" w:hAnsi="仿宋_GB2312" w:eastAsia="仿宋_GB2312" w:cs="仿宋_GB2312"/>
          <w:color w:val="000000"/>
          <w:sz w:val="32"/>
          <w:szCs w:val="32"/>
        </w:rPr>
        <w:t>等，发挥主场优势。当事人一旦选择了仲裁机构，则建议以该机构推荐的仲裁示范条款作为草拟仲裁条款的基础。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积极应诉，委任合适的仲裁员</w:t>
      </w:r>
      <w:r>
        <w:rPr>
          <w:rFonts w:hint="eastAsia" w:ascii="CESI楷体-GB2312" w:hAnsi="CESI楷体-GB2312" w:eastAsia="CESI楷体-GB2312" w:cs="CESI楷体-GB2312"/>
          <w:b/>
          <w:bCs/>
          <w:color w:val="000000"/>
          <w:sz w:val="32"/>
          <w:szCs w:val="32"/>
          <w:lang w:eastAsia="zh-CN"/>
        </w:rPr>
        <w:t>。</w:t>
      </w:r>
      <w:r>
        <w:rPr>
          <w:rFonts w:hint="eastAsia" w:ascii="仿宋_GB2312" w:hAnsi="仿宋_GB2312" w:eastAsia="仿宋_GB2312" w:cs="仿宋_GB2312"/>
          <w:color w:val="000000"/>
          <w:sz w:val="32"/>
          <w:szCs w:val="32"/>
        </w:rPr>
        <w:t>应诉是最好的解决争议的方法，应诉才能使谈判和解的可能性增大，才有可能争取达成较好的和解条件。不仅仅要应诉，而且从程序上也得用尽所有可能的措施，争取最佳的裁决结果。其中包括在选任仲裁员问题上，要充分认识到一方当事人有权利或有机会影响仲裁庭一半的构成，这可以说是当事人至关重要的核心权利之一。中国公司应该尽量委任中国或种族/文化背景上认同的仲裁员，最好是对中文和英文，对中国法和普通法均有相当造诣的律师担任，绝不能牺牲对仲裁员水平与操守的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善用律师，合力取胜</w:t>
      </w:r>
      <w:r>
        <w:rPr>
          <w:rFonts w:hint="eastAsia" w:ascii="CESI楷体-GB2312" w:hAnsi="CESI楷体-GB2312" w:eastAsia="CESI楷体-GB2312" w:cs="CESI楷体-GB2312"/>
          <w:b/>
          <w:bCs/>
          <w:color w:val="000000"/>
          <w:sz w:val="32"/>
          <w:szCs w:val="32"/>
          <w:lang w:eastAsia="zh-CN"/>
        </w:rPr>
        <w:t>。</w:t>
      </w:r>
      <w:r>
        <w:rPr>
          <w:rFonts w:hint="eastAsia" w:ascii="仿宋_GB2312" w:hAnsi="仿宋_GB2312" w:eastAsia="仿宋_GB2312" w:cs="仿宋_GB2312"/>
          <w:color w:val="000000"/>
          <w:sz w:val="32"/>
          <w:szCs w:val="32"/>
        </w:rPr>
        <w:t>在国际仲裁中，法律费用包括律师的费用，仲裁员的费用和开支，以及机构费用和翻译费等，费用不菲。通常是由败诉方承担。高水平的律师团队常常能有更大的机会获得案件的胜诉或降低损失，以低价招聘律师的方式并不是明智的做法。公司的费用预算尽可能合理。企业要对内部法务和外部律师的工作内容进行科学合理地分工，善用律师，以取得收益的最大化。企业法务的积极配合和有利支持能帮助减少外部律师的工作量，从而降低律师费的发生，实现较好地成本控制。有些公司为了节省法律成本，由公司内部法务人员直接代理，不依赖专业律师的资源、不委托专业律师代理，最后效果未必好，还得赔偿对方昂贵的律师费。公司经过精挑细选后，委任自己信任并且高水平的律师代理后，并肩作战，善始善终，除非有十分明显的理由，否则不要中途轻易“换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提升文件管理水平</w:t>
      </w:r>
      <w:r>
        <w:rPr>
          <w:rFonts w:hint="eastAsia" w:ascii="CESI楷体-GB2312" w:hAnsi="CESI楷体-GB2312" w:eastAsia="CESI楷体-GB2312" w:cs="CESI楷体-GB2312"/>
          <w:b/>
          <w:bCs/>
          <w:color w:val="000000"/>
          <w:sz w:val="32"/>
          <w:szCs w:val="32"/>
          <w:lang w:eastAsia="zh-CN"/>
        </w:rPr>
        <w:t>。</w:t>
      </w:r>
      <w:r>
        <w:rPr>
          <w:rFonts w:hint="eastAsia" w:ascii="仿宋_GB2312" w:hAnsi="仿宋_GB2312" w:eastAsia="仿宋_GB2312" w:cs="仿宋_GB2312"/>
          <w:color w:val="000000"/>
          <w:sz w:val="32"/>
          <w:szCs w:val="32"/>
        </w:rPr>
        <w:t>一般而言与项目合同有关的所有行为，应以书面的、可存储的方式完整保存。对于敏感文件，尽量以可享有特免权(主要是法律业务特免权)的方式保存。如果有对自己不利的文件，除非是与其他文件不可分割，否则应该销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政策引导和支持</w:t>
      </w:r>
      <w:r>
        <w:rPr>
          <w:rFonts w:hint="eastAsia" w:ascii="CESI楷体-GB2312" w:hAnsi="CESI楷体-GB2312" w:eastAsia="CESI楷体-GB2312" w:cs="CESI楷体-GB2312"/>
          <w:b/>
          <w:bCs/>
          <w:color w:val="000000"/>
          <w:sz w:val="32"/>
          <w:szCs w:val="32"/>
          <w:lang w:eastAsia="zh-CN"/>
        </w:rPr>
        <w:t>。</w:t>
      </w:r>
      <w:r>
        <w:rPr>
          <w:rFonts w:hint="eastAsia" w:ascii="仿宋_GB2312" w:hAnsi="仿宋_GB2312" w:eastAsia="仿宋_GB2312" w:cs="仿宋_GB2312"/>
          <w:color w:val="000000"/>
          <w:sz w:val="32"/>
          <w:szCs w:val="32"/>
        </w:rPr>
        <w:t>政府应以务实的措施鼓励、引导和支持企业“走出去”之时就应当委托中国律师，尤其是深圳本土优秀的律师全程参与项目。在发生国际争端时，更应该推荐委任适格的中国律师担任案件的牵头律师，或指定为仲裁员等。</w:t>
      </w:r>
    </w:p>
    <w:p>
      <w:pPr>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br w:type="page"/>
      </w:r>
      <w:r>
        <w:rPr>
          <w:rFonts w:hint="eastAsia" w:ascii="方正黑体_GBK" w:hAnsi="方正黑体_GBK" w:eastAsia="方正黑体_GBK" w:cs="方正黑体_GBK"/>
          <w:color w:val="000000"/>
          <w:sz w:val="32"/>
          <w:szCs w:val="32"/>
        </w:rPr>
        <w:t>【国际国内评述】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深港能否携手冲刺全球金融中心“第三极”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国家高端智库中国（深圳）综合开发研究院与英国智库Z/Yen集团近期联合发布的“第32期全球金融中心指数报告（GFCI 32）”显示，深圳综合排名再上升1位，位居全球第9。香港、上海、北京、深圳中国四大金融中心均跻身全球金融中心十强。有专家认为，这显示全球金融发展重心继续延续从北美和欧洲向亚洲转移的趋势，深圳金融中心进一步崛起，国际影响力继续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目前，只有伦敦和纽约能称得上“全球金融中心”。但如果把深港两地金融业增加值、金融市场、金融总部机构、财富管理规模等金融指标“简单加总”，那么“深港”在很多金融领域甚至超过伦敦和纽约。有专家据此提出，“深港”完全有条件成为第三个“全球金融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深港能否携手冲刺全球金融中心“第三极”？深圳这一金融“新秀”如何更好地与世界老牌金融巨头共舞？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一、深圳金融的家底与潜力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放眼近10年，深圳在全球金融中心指数这份榜单上创造了从“二十名开外”到“跃居前十”的奇迹。这十年，深圳金融业增加值年均增速达到11.7%，尽管遭遇中美经贸摩擦、新冠感染</w:t>
      </w:r>
      <w:bookmarkStart w:id="1" w:name="_GoBack"/>
      <w:bookmarkEnd w:id="1"/>
      <w:r>
        <w:rPr>
          <w:rFonts w:hint="eastAsia" w:ascii="仿宋_GB2312" w:hAnsi="仿宋_GB2312" w:eastAsia="仿宋_GB2312" w:cs="仿宋_GB2312"/>
          <w:color w:val="000000"/>
          <w:sz w:val="32"/>
          <w:szCs w:val="32"/>
          <w:lang w:val="en-US" w:eastAsia="zh-CN"/>
        </w:rPr>
        <w:t>疫情等多重因素影响，依然韧性十足，逆势而上，2020-2021两年平均增长8.3%，2022年上半年增长8.9%，在各大城市中遥遥领先。如今，深圳金融业占GDP比重已由2012年的14%提高至2022年上半年的16.1%。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深圳作为后起之秀，金融业发展不仅迅速，还有自身的特色。分单项看，在资本市场、财富管理、风投创投、金融科技、金融总部等多个领域，深圳金融业都做到了国内乃至全球领先。</w:t>
      </w:r>
      <w:r>
        <w:rPr>
          <w:rFonts w:hint="eastAsia" w:ascii="CESI楷体-GB2312" w:hAnsi="CESI楷体-GB2312" w:eastAsia="CESI楷体-GB2312" w:cs="CESI楷体-GB2312"/>
          <w:b/>
          <w:bCs/>
          <w:color w:val="000000"/>
          <w:sz w:val="32"/>
          <w:szCs w:val="32"/>
          <w:lang w:val="en-US" w:eastAsia="zh-CN"/>
        </w:rPr>
        <w:t>资本市场。</w:t>
      </w:r>
      <w:r>
        <w:rPr>
          <w:rFonts w:hint="eastAsia" w:ascii="仿宋_GB2312" w:hAnsi="仿宋_GB2312" w:eastAsia="仿宋_GB2312" w:cs="仿宋_GB2312"/>
          <w:color w:val="000000"/>
          <w:sz w:val="32"/>
          <w:szCs w:val="32"/>
          <w:lang w:val="en-US" w:eastAsia="zh-CN"/>
        </w:rPr>
        <w:t>深交所交易量长期位居全球第三、市值全球第六，IPO数量多年位居全球第一，2022年上半年深交所IPO上市数量81家，稳居全球交易所榜首。</w:t>
      </w:r>
      <w:r>
        <w:rPr>
          <w:rFonts w:hint="eastAsia" w:ascii="CESI楷体-GB2312" w:hAnsi="CESI楷体-GB2312" w:eastAsia="CESI楷体-GB2312" w:cs="CESI楷体-GB2312"/>
          <w:b/>
          <w:bCs/>
          <w:color w:val="000000"/>
          <w:sz w:val="32"/>
          <w:szCs w:val="32"/>
          <w:lang w:val="en-US" w:eastAsia="zh-CN"/>
        </w:rPr>
        <w:t>财富管理。</w:t>
      </w:r>
      <w:r>
        <w:rPr>
          <w:rFonts w:hint="eastAsia" w:ascii="仿宋_GB2312" w:hAnsi="仿宋_GB2312" w:eastAsia="仿宋_GB2312" w:cs="仿宋_GB2312"/>
          <w:color w:val="000000"/>
          <w:sz w:val="32"/>
          <w:szCs w:val="32"/>
          <w:lang w:val="en-US" w:eastAsia="zh-CN"/>
        </w:rPr>
        <w:t>截至2021年底深圳银行、证券、保险、基金（含私募）、期货等各类财富管理机构资产管理规模达到26万亿元，占全国（125.5万亿元）比重超过1/5；根据香港证监会发布的调查报告显示，截至2021年底香港资产及财富管理业务的管理资产规模为35.55万亿港元（约合28.94万亿元人民币），仅仅比深圳高10%左右。</w:t>
      </w:r>
      <w:r>
        <w:rPr>
          <w:rFonts w:hint="eastAsia" w:ascii="CESI楷体-GB2312" w:hAnsi="CESI楷体-GB2312" w:eastAsia="CESI楷体-GB2312" w:cs="CESI楷体-GB2312"/>
          <w:b/>
          <w:bCs/>
          <w:color w:val="000000"/>
          <w:sz w:val="32"/>
          <w:szCs w:val="32"/>
          <w:lang w:val="en-US" w:eastAsia="zh-CN"/>
        </w:rPr>
        <w:t>风投创投。</w:t>
      </w:r>
      <w:r>
        <w:rPr>
          <w:rFonts w:hint="eastAsia" w:ascii="仿宋_GB2312" w:hAnsi="仿宋_GB2312" w:eastAsia="仿宋_GB2312" w:cs="仿宋_GB2312"/>
          <w:color w:val="000000"/>
          <w:sz w:val="32"/>
          <w:szCs w:val="32"/>
          <w:lang w:val="en-US" w:eastAsia="zh-CN"/>
        </w:rPr>
        <w:t>截至2021年12月，深圳已备案私募基金管理人4320家，约占全国18%，位居全国第二；2021年清科创投排行榜前20名中，有深创投、达晨、同创伟业、东方富海等4家机构。</w:t>
      </w:r>
      <w:r>
        <w:rPr>
          <w:rFonts w:hint="eastAsia" w:ascii="CESI楷体-GB2312" w:hAnsi="CESI楷体-GB2312" w:eastAsia="CESI楷体-GB2312" w:cs="CESI楷体-GB2312"/>
          <w:b/>
          <w:bCs/>
          <w:color w:val="000000"/>
          <w:sz w:val="32"/>
          <w:szCs w:val="32"/>
          <w:lang w:val="en-US" w:eastAsia="zh-CN"/>
        </w:rPr>
        <w:t>金融科技。</w:t>
      </w:r>
      <w:r>
        <w:rPr>
          <w:rFonts w:hint="eastAsia" w:ascii="仿宋_GB2312" w:hAnsi="仿宋_GB2312" w:eastAsia="仿宋_GB2312" w:cs="仿宋_GB2312"/>
          <w:color w:val="000000"/>
          <w:sz w:val="32"/>
          <w:szCs w:val="32"/>
          <w:lang w:val="en-US" w:eastAsia="zh-CN"/>
        </w:rPr>
        <w:t>深圳拥有一批金融科技龙头企业和基础设施，平安金融科技PCT专利申请量连续2年位居全球金融科技企业首位，腾讯位于全球前五位，相当于申请金融科技专利全球前5大机构有2家在深圳；21家金融科技企业入选2021年度毕马威金融科技“双50强”（新锐、领先）榜单。在最新全球金融中心指数（GFCI 32）中，深圳的金融科技位列全球第七名。年内发布了《深圳市扶持金融科技发展若干措施》和金融科技三年发展规划，全力推动金融科技产业集聚、技术创新和应用。</w:t>
      </w:r>
      <w:r>
        <w:rPr>
          <w:rFonts w:hint="eastAsia" w:ascii="CESI楷体-GB2312" w:hAnsi="CESI楷体-GB2312" w:eastAsia="CESI楷体-GB2312" w:cs="CESI楷体-GB2312"/>
          <w:b/>
          <w:bCs/>
          <w:color w:val="000000"/>
          <w:sz w:val="32"/>
          <w:szCs w:val="32"/>
          <w:lang w:val="en-US" w:eastAsia="zh-CN"/>
        </w:rPr>
        <w:t>金融总部。</w:t>
      </w:r>
      <w:r>
        <w:rPr>
          <w:rFonts w:hint="eastAsia" w:ascii="仿宋_GB2312" w:hAnsi="仿宋_GB2312" w:eastAsia="仿宋_GB2312" w:cs="仿宋_GB2312"/>
          <w:color w:val="000000"/>
          <w:sz w:val="32"/>
          <w:szCs w:val="32"/>
          <w:lang w:val="en-US" w:eastAsia="zh-CN"/>
        </w:rPr>
        <w:t>深圳金融机构的数量、规模和密度稳居大中城市前列。3家金融机构进入2022年“财富世界500强”（Fortune Global 500）。《欧洲养老金与投资》最新发布的“2022全球资管500强”榜单中，深圳有8家。2021年，深圳有5家证券公司（中信、国信、平安、招商、安信）营业收入、6家公募基金公司资产管理规模进入行业前二十。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深圳金融业能有这样的冲劲，离不开这座城市的改革创新基因和市场化、国际化的底蕴。未来深圳要向更高阶攀升，依然要靠这样的基因和特质。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服务国家金融战略，深圳始终承担“国家金融改革创新实验中心”的角色，在推进金融机构股份制改革、引进外资金融机构，推动金融产品和业务创新等方面，深圳一直领先于全国其他城市，创造了中国金融史上一百多个“第一”。立足金融开放战略，深圳在实施金融业对外开放、不断探索新的金融发展方式方面也始终勇当先锋，在最初的从国外引进金融机构、资金、人才的基础上，逐步开始实现金融机构、资金、人才的对外辐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在深圳金融业高质量发展“十四五”规划中，鲜明提出建设“四个中心”的概念——全球创新资本形成中心、全球金融科技中心、全球可持续金融中心、国际财富管理中心，放眼全球、谋求进位的雄心昭然若揭。深圳金融业“四个中心”的谋划推动，是在粤港澳大湾区建设的大战略背景下展开的。粤港澳大湾区是全球四大湾区中人口最多、面积最大的湾区，在“十四五”期间，经济总量也有望成为全球第一。深港经济总量接近整个大湾区的一半，是三极四核中重要的一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有了更厚的家底、更高的目标和背靠大湾区的实力，让今天的深圳更有底气和信心加快推进深港金融合作迈上新高度、迈入深层次，作为“大湾区联合战队”竞逐世界舞台。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金融市场的深度、广度、高度是没有限量的，如果能强强联合，可以无限延伸这个市场，并不存在一个总量的限制。”中国（深圳）综合开发研究院金融发展与国资国企研究所执行所长余凌曲认为，未来的竞争不是深港之间的竞争，而是深港作为中国的金融中心和世界其他金融中心的竞争，而适度的国际竞争也是中国金融开放的机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二、深港携手，可以打好这几张牌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近年来，深港金融合作已经呈现出很好的势头，未来深港进一步携手，还可以打开怎样的想象空间？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国家“十四五”规划明确提出，支持香港打造“八中心两枢纽”，支持香港提升国际金融中心地位，强化香港作为全球离岸人民币业务枢纽、国际资产管理中心及风险管理中心功能。香港特区政府也提出，巩固金融中心，提升核心优势，吸引全球企业到香港上市、发展金融科技、推进绿色金融和ESG金融等。深圳市地方金融监督管理局表示，深圳将积极支持香港强化全球离岸人民币业务枢纽功能，助力香港建设国际资产管理中心，强化香港风险管理中心功能。深港金融高质量合作发展，既落实中央要求，又满足香港所需、发挥深圳所能，必将为香港国际金融中心建设发挥更大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深港携手做大金融业蛋糕，至少有这几张牌可以打：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CESI楷体-GB2312" w:hAnsi="CESI楷体-GB2312" w:eastAsia="CESI楷体-GB2312" w:cs="CESI楷体-GB2312"/>
          <w:b/>
          <w:bCs/>
          <w:color w:val="000000"/>
          <w:sz w:val="32"/>
          <w:szCs w:val="32"/>
          <w:lang w:val="en-US" w:eastAsia="zh-CN"/>
        </w:rPr>
        <w:t>首先就是发挥前海、河套等深港合作重大平台的作用。</w:t>
      </w:r>
      <w:r>
        <w:rPr>
          <w:rFonts w:hint="eastAsia" w:ascii="仿宋_GB2312" w:hAnsi="仿宋_GB2312" w:eastAsia="仿宋_GB2312" w:cs="仿宋_GB2312"/>
          <w:color w:val="000000"/>
          <w:sz w:val="32"/>
          <w:szCs w:val="32"/>
          <w:lang w:val="en-US" w:eastAsia="zh-CN"/>
        </w:rPr>
        <w:t>在前海、河套等深港重大合作平台上，金融业将唱“重头戏”。巩固和提升前海跨境金融创新地位，利用深圳综合改革试点、《前海总规》修订等契机，争取前海在离岸金融、跨境人民币业务创新、外汇管理改革等领域先行先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深圳已提出持续深化与香港金融市场的互联互通，高水平建设前海深港国际金融城，支持境外金融机构特别是香港金融机构在深圳的发展，持续推动粤港澳保险服务中心建设。在确保金融安全的前提下，在河套合作区内探索实行先行先试的金融政策，在便利资金跨境流动、促进企业跨境投融资、金融支持科技创新、支持合作区内金融科技产业发展等方面着力，积极构建多元化、多层次投融资渠道，支持河套合作区科技创新与产业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CESI楷体-GB2312" w:hAnsi="CESI楷体-GB2312" w:eastAsia="CESI楷体-GB2312" w:cs="CESI楷体-GB2312"/>
          <w:b/>
          <w:bCs/>
          <w:color w:val="000000"/>
          <w:sz w:val="32"/>
          <w:szCs w:val="32"/>
          <w:lang w:val="en-US" w:eastAsia="zh-CN"/>
        </w:rPr>
        <w:t>其次，就是充分发挥资本市场融资功能。</w:t>
      </w:r>
      <w:r>
        <w:rPr>
          <w:rFonts w:hint="eastAsia" w:ascii="仿宋_GB2312" w:hAnsi="仿宋_GB2312" w:eastAsia="仿宋_GB2312" w:cs="仿宋_GB2312"/>
          <w:color w:val="000000"/>
          <w:sz w:val="32"/>
          <w:szCs w:val="32"/>
          <w:lang w:val="en-US" w:eastAsia="zh-CN"/>
        </w:rPr>
        <w:t>抓住香港北部都会区建设国际创新科技中心的机遇，充分利用科技创新对金融赋能的巨大需求，充分发挥资本市场融资功能，着力完善深港科创金融服务生态圈。全力支持深交所深化改革，加强与港交所的联动合作，深化“深港通”、基金互认、ETF互通等创新试点；支持更多优质中概股回归港深交易所上市，鼓励两地科技创新企业发行股票或存托凭证，共同打造创新企业上市的首选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CESI楷体-GB2312" w:hAnsi="CESI楷体-GB2312" w:eastAsia="CESI楷体-GB2312" w:cs="CESI楷体-GB2312"/>
          <w:b/>
          <w:bCs/>
          <w:color w:val="000000"/>
          <w:sz w:val="32"/>
          <w:szCs w:val="32"/>
          <w:lang w:val="en-US" w:eastAsia="zh-CN"/>
        </w:rPr>
        <w:t>再有，就是共促金融科技发展。</w:t>
      </w:r>
      <w:r>
        <w:rPr>
          <w:rFonts w:hint="eastAsia" w:ascii="仿宋_GB2312" w:hAnsi="仿宋_GB2312" w:eastAsia="仿宋_GB2312" w:cs="仿宋_GB2312"/>
          <w:color w:val="000000"/>
          <w:sz w:val="32"/>
          <w:szCs w:val="32"/>
          <w:lang w:val="en-US" w:eastAsia="zh-CN"/>
        </w:rPr>
        <w:t>金融科技已经成为金融产业迭代创新的重要动力。深圳可以发挥央行金融科技研究院等带动作用，联动香港开展数字人民币跨境支付试点，携手打造数字人民币跨境应用示范区。未来深圳还将加强深圳金融科技节、金融科技大赛、金融科技峰会与香港金融科技周等活动互动，深入推进“深港澳金融科技师”专才计划，共同培育大湾区金融科技生态。依托粤港澳大湾区绿色金融联盟秘书处等组织，深港还将完善大湾区绿色金融信息互通共享机制，推进绿色金融标准互认。探索构建统一的绿色金融标准，共建深港跨境碳交易市场，共建服务企业清洁、低碳、绿色发展的环境权益交易市场等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CESI楷体-GB2312" w:hAnsi="CESI楷体-GB2312" w:eastAsia="CESI楷体-GB2312" w:cs="CESI楷体-GB2312"/>
          <w:b/>
          <w:bCs/>
          <w:color w:val="000000"/>
          <w:sz w:val="32"/>
          <w:szCs w:val="32"/>
          <w:lang w:val="en-US" w:eastAsia="zh-CN"/>
        </w:rPr>
        <w:t>此外，深港之间，“财富快车”也将提速。</w:t>
      </w:r>
      <w:r>
        <w:rPr>
          <w:rFonts w:hint="eastAsia" w:ascii="仿宋_GB2312" w:hAnsi="仿宋_GB2312" w:eastAsia="仿宋_GB2312" w:cs="仿宋_GB2312"/>
          <w:color w:val="000000"/>
          <w:sz w:val="32"/>
          <w:szCs w:val="32"/>
          <w:lang w:val="en-US" w:eastAsia="zh-CN"/>
        </w:rPr>
        <w:t>深圳将鼓励香港私人银行、家族财富管理等机构在深圳设立专营机构，吸引符合条件的港资机构在深设立合资或独资理财公司，开展跨境财富管理业务。推动完善“深港通”交易机制，深化“跨境理财通”“债券通”“ETF通”试点，扩大可投资产品范围及适用群体，更好发挥香港作为海外资金进入内地金融市场的桥头堡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深港双城金融互联互通将是双赢关系，系统性引入国际金融规则是深港金融合作的关键。”余凌曲认为，深港双城共建金融中心，有一个重要的优势可以发挥出来，那就是香港的国际金融规则。现在需要考虑的问题是，如何让香港和整个大湾区金融市场互联互通、优势互补。在这一层面上，深圳和香港可以各有分工，统筹起来。深圳作为粤港澳大湾区另一个金融中心的作用就是互相整合，规则通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000000"/>
          <w:sz w:val="32"/>
          <w:szCs w:val="32"/>
          <w:lang w:val="en-US" w:eastAsia="zh-CN"/>
        </w:rPr>
      </w:pPr>
      <w:r>
        <w:rPr>
          <w:rFonts w:hint="eastAsia" w:ascii="方正黑体_GBK" w:hAnsi="方正黑体_GBK" w:eastAsia="方正黑体_GBK" w:cs="方正黑体_GBK"/>
          <w:b w:val="0"/>
          <w:bCs w:val="0"/>
          <w:color w:val="000000"/>
          <w:sz w:val="32"/>
          <w:szCs w:val="32"/>
          <w:lang w:val="en-US" w:eastAsia="zh-CN"/>
        </w:rPr>
        <w:t>三、意在金融，谋在生态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深圳金融业谋求再进位，不仅意在金融，更谋在生态。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经济是肌体，金融是血脉，深圳金融中心的崛起，也必将为实体经济的发展提供支撑、注入活力。很明显，深圳近期对经济的谋划和布局是全方位的，围绕制造业、科技创新大做文章的同时，以金融业等为代表的现代服务业也同步跟进，瞄准更高更强，形成共促高质量发展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深圳已经将新的目标定位为加快打造更具全球影响力的经济中心城市和现代化国际大都市，经济总量迈上3万亿新高度，锚定“全球标杆城市”的深圳，经济要想再实现质的飞跃，步入高质量发展的快车道，必须构建一个各种要素彼此成就、彼此助益的系统协同生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创新+资本，金融业助力实体经济，将迸发出不可想象的经济新动能。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2022年11月8日，“深圳创投日”在南山举行启动大会，而且今后每个月的8日，都将是“深圳创投日”的重要活动日，从南山起步，逐步深入河套深港科技创新合作区、光明科学城、西丽湖国际科教城、前海深港现代服务业合作区等重大战略平台及各区举办，未来“深圳创投日”将立足深圳、辐射大湾区、链接全球，努力打造深圳金融的重要名片。创投是金融支持科技创新、布局发展未来产业、推动产业转型升级的重要资本引擎，创投日活动的启动是一个信号，彰显了深圳要把资本与创新、制造结合起来，共同做大的决心和信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与香港联手，抓住香港北部都会区建设国际创新科技中心的机遇，充分利用科技创新对金融赋能的巨大需求，充分发挥资本市场融资功能，着力完善深港科创金融服务生态圈，探索把香港的金融规则延伸到深圳、延伸到大湾区，和整个大湾区的科技创新、制造业转型升级结合起来，创造足够的土壤和养分，与实体经济共同做大做强，这才是深圳谋求金融业再进阶的终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000000"/>
          <w:sz w:val="32"/>
          <w:szCs w:val="32"/>
          <w:lang w:val="en-US" w:eastAsia="zh-CN"/>
        </w:rPr>
      </w:pPr>
      <w:r>
        <w:rPr>
          <w:rFonts w:hint="eastAsia" w:ascii="仿宋_GB2312" w:hAnsi="仿宋_GB2312" w:eastAsia="仿宋_GB2312" w:cs="仿宋_GB2312"/>
          <w:color w:val="000000"/>
          <w:sz w:val="32"/>
          <w:szCs w:val="32"/>
          <w:lang w:val="en-US" w:eastAsia="zh-CN"/>
        </w:rPr>
        <w:t>深港能携手冲刺全球金融中心“第三极”么？答案非常令人期待。</w:t>
      </w:r>
      <w:r>
        <w:rPr>
          <w:rFonts w:hint="eastAsia" w:ascii="CESI楷体-GB2312" w:hAnsi="CESI楷体-GB2312" w:eastAsia="CESI楷体-GB2312" w:cs="CESI楷体-GB2312"/>
          <w:color w:val="000000"/>
          <w:sz w:val="32"/>
          <w:szCs w:val="32"/>
          <w:lang w:val="en-US" w:eastAsia="zh-CN"/>
        </w:rPr>
        <w:t>（转载自“</w:t>
      </w:r>
      <w:r>
        <w:rPr>
          <w:rFonts w:hint="eastAsia" w:ascii="CESI楷体-GB2312" w:hAnsi="CESI楷体-GB2312" w:eastAsia="CESI楷体-GB2312" w:cs="CESI楷体-GB2312"/>
          <w:color w:val="000000"/>
          <w:sz w:val="32"/>
          <w:szCs w:val="32"/>
          <w:lang w:val="en-US" w:eastAsia="zh-CN"/>
        </w:rPr>
        <w:fldChar w:fldCharType="begin"/>
      </w:r>
      <w:r>
        <w:rPr>
          <w:rFonts w:hint="eastAsia" w:ascii="CESI楷体-GB2312" w:hAnsi="CESI楷体-GB2312" w:eastAsia="CESI楷体-GB2312" w:cs="CESI楷体-GB2312"/>
          <w:color w:val="000000"/>
          <w:sz w:val="32"/>
          <w:szCs w:val="32"/>
          <w:lang w:val="en-US" w:eastAsia="zh-CN"/>
        </w:rPr>
        <w:instrText xml:space="preserve"> HYPERLINK "javascript:void(0);" </w:instrText>
      </w:r>
      <w:r>
        <w:rPr>
          <w:rFonts w:hint="eastAsia" w:ascii="CESI楷体-GB2312" w:hAnsi="CESI楷体-GB2312" w:eastAsia="CESI楷体-GB2312" w:cs="CESI楷体-GB2312"/>
          <w:color w:val="000000"/>
          <w:sz w:val="32"/>
          <w:szCs w:val="32"/>
          <w:lang w:val="en-US" w:eastAsia="zh-CN"/>
        </w:rPr>
        <w:fldChar w:fldCharType="separate"/>
      </w:r>
      <w:r>
        <w:rPr>
          <w:rFonts w:hint="eastAsia" w:ascii="CESI楷体-GB2312" w:hAnsi="CESI楷体-GB2312" w:eastAsia="CESI楷体-GB2312" w:cs="CESI楷体-GB2312"/>
          <w:color w:val="000000"/>
          <w:sz w:val="32"/>
          <w:szCs w:val="32"/>
          <w:lang w:val="en-US" w:eastAsia="zh-CN"/>
        </w:rPr>
        <w:t>深政观察</w:t>
      </w:r>
      <w:r>
        <w:rPr>
          <w:rFonts w:hint="eastAsia" w:ascii="CESI楷体-GB2312" w:hAnsi="CESI楷体-GB2312" w:eastAsia="CESI楷体-GB2312" w:cs="CESI楷体-GB2312"/>
          <w:color w:val="000000"/>
          <w:sz w:val="32"/>
          <w:szCs w:val="32"/>
          <w:lang w:val="en-US" w:eastAsia="zh-CN"/>
        </w:rPr>
        <w:fldChar w:fldCharType="end"/>
      </w:r>
      <w:r>
        <w:rPr>
          <w:rFonts w:hint="eastAsia" w:ascii="CESI楷体-GB2312" w:hAnsi="CESI楷体-GB2312" w:eastAsia="CESI楷体-GB2312" w:cs="CESI楷体-GB2312"/>
          <w:color w:val="000000"/>
          <w:sz w:val="32"/>
          <w:szCs w:val="32"/>
          <w:lang w:val="en-US" w:eastAsia="zh-CN"/>
        </w:rPr>
        <w:t>”公众号）</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亟须帮助跨境电商中小企业渡过“合规关”</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CESI楷体-GB2312" w:hAnsi="CESI楷体-GB2312" w:eastAsia="CESI楷体-GB2312" w:cs="CESI楷体-GB2312"/>
          <w:color w:val="000000"/>
          <w:sz w:val="32"/>
          <w:szCs w:val="32"/>
          <w:lang w:val="en-US" w:eastAsia="zh-CN"/>
        </w:rPr>
      </w:pPr>
      <w:r>
        <w:rPr>
          <w:rFonts w:hint="eastAsia" w:ascii="CESI楷体-GB2312" w:hAnsi="CESI楷体-GB2312" w:eastAsia="CESI楷体-GB2312" w:cs="CESI楷体-GB2312"/>
          <w:color w:val="000000"/>
          <w:sz w:val="32"/>
          <w:szCs w:val="32"/>
          <w:lang w:val="en-US" w:eastAsia="zh-CN"/>
        </w:rPr>
        <w:t xml:space="preserve">国务院发展研究中心对外经济研究部 </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CESI楷体-GB2312" w:hAnsi="CESI楷体-GB2312" w:eastAsia="CESI楷体-GB2312" w:cs="CESI楷体-GB2312"/>
          <w:color w:val="000000"/>
          <w:sz w:val="32"/>
          <w:szCs w:val="32"/>
          <w:lang w:val="en-US" w:eastAsia="zh-CN"/>
        </w:rPr>
      </w:pPr>
      <w:r>
        <w:rPr>
          <w:rFonts w:hint="eastAsia" w:ascii="CESI楷体-GB2312" w:hAnsi="CESI楷体-GB2312" w:eastAsia="CESI楷体-GB2312" w:cs="CESI楷体-GB2312"/>
          <w:color w:val="000000"/>
          <w:sz w:val="32"/>
          <w:szCs w:val="32"/>
          <w:lang w:val="en-US" w:eastAsia="zh-CN"/>
        </w:rPr>
        <w:t>宗芳宇 高庆鹏 刘铁志 陈红娜 盛彩娇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近年来，我国跨境电商进出口高速增长，特别是广大中小企业投身其中，拓展了参与国际贸易的空间，有些成长为微型跨国企业，跨境电商成为我国外贸增长新亮点、稳外贸稳就业的重要抓手。2021年5月以来，跨境电商企业持续遭遇严格的国际合规审查，经营遇阻，2022年一季度进出口出现“逆向调整”。聚焦这一突出问题，我们深入开展多场行业调研座谈、了解“面”上问题，聚焦平台、卖家、服务商等企业个案挖掘“点”上诉求，利用问卷调查“点面”结合。在系统分析大量一手信息、反复与市场主体交流基础上，我们认为，国际合规影响广泛，亟须加强跨境电商国际合规指引等公共服务支持，帮助企业尽快渡过“国际合规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一、严苛的国际合规影响我国跨境电商快速发展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近五年来，我国跨境电商进出口增长近10倍，成为外贸发展的突出亮点。2021年，跨境电商进出口增速有所下降，出口增速由2020年的高于一般贸易35个百分点收窄至2021年仅高7个百分点，2022年一季度增速进一步下滑至2.6%，比一般贸易的出口增速反而低10.8个百分点，其中日益严苛的国际合规是重要影响因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楷体-GB2312" w:hAnsi="CESI楷体-GB2312" w:eastAsia="CESI楷体-GB2312" w:cs="CESI楷体-GB2312"/>
          <w:b/>
          <w:bCs/>
          <w:color w:val="000000"/>
          <w:sz w:val="32"/>
          <w:szCs w:val="32"/>
          <w:lang w:eastAsia="zh-CN"/>
        </w:rPr>
      </w:pPr>
      <w:r>
        <w:rPr>
          <w:rFonts w:hint="eastAsia" w:ascii="CESI楷体-GB2312" w:hAnsi="CESI楷体-GB2312" w:eastAsia="CESI楷体-GB2312" w:cs="CESI楷体-GB2312"/>
          <w:b/>
          <w:bCs/>
          <w:color w:val="000000"/>
          <w:sz w:val="32"/>
          <w:szCs w:val="32"/>
        </w:rPr>
        <w:t>（一）企业面临越来越严峻的国际合规挑战</w:t>
      </w:r>
      <w:r>
        <w:rPr>
          <w:rFonts w:hint="eastAsia" w:ascii="CESI楷体-GB2312" w:hAnsi="CESI楷体-GB2312" w:eastAsia="CESI楷体-GB2312" w:cs="CESI楷体-GB2312"/>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跨境电商平台加强合规审查力度。疫情以来，随着中国卖家入驻量激增，国际电商平台不断提升对合规问题重视度、持续强化合规监督与执行力度。据国外咨询公司Marketplace Pulse统计，亚马逊2021年以来以涉“刷单”“虚假评论”等为由，暂停销售卖家合计年销售额超过10亿美元，其中有数百个顶级卖家。从我们的问卷调查结果看，43.3%的受访企业反映受到跨境电商平台国际合规负面影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支付平台与广告平台加强对独立站合规经营审查。近年来，大型支付平台贝宝（PayPal）对合规审查和执行力度也不断加强，调研企业反映，2019年以来PayPal对用户协议的重大调整累计达12次，按其《合理使用规则》可对违规行为进行限制、注销或暂停账户和冻结余额等处罚，对每笔违规交易收取2500美元罚款。2020年3月，PayPal以卖家违规为由冻结数千个账号的资金，2022年3月再次开展专项整治，以涉嫌“商品侵权”“经营不规范”“虚假发货”等违反平台规则为由，对中国区卖家账户直接冻结资金或实施罚款。此外，谷歌、脸书（Facebook）等广告平台也对独立站卖家采取合规审查、</w:t>
      </w:r>
      <w:r>
        <w:rPr>
          <w:rFonts w:hint="eastAsia" w:ascii="仿宋_GB2312" w:hAnsi="仿宋_GB2312" w:eastAsia="仿宋_GB2312" w:cs="仿宋_GB2312"/>
          <w:color w:val="000000"/>
          <w:spacing w:val="-11"/>
          <w:sz w:val="32"/>
          <w:szCs w:val="32"/>
        </w:rPr>
        <w:t>封店等严厉监管措施。问卷调查显示，分别有46.5%和54.4%的受访企业受到支付平台和广告平台的国际合规政策影响。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此外，东道国法律法规变化，如欧盟跨境电商增值税（VAT）新规等，也是国际合规的主要挑战之一，39.2%的受访企业认为对其业务有较大影响。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（二）合规问题使中国跨境电商企业遭受巨大损失</w:t>
      </w:r>
      <w:r>
        <w:rPr>
          <w:rFonts w:hint="eastAsia" w:ascii="CESI楷体-GB2312" w:hAnsi="CESI楷体-GB2312" w:eastAsia="CESI楷体-GB2312" w:cs="CESI楷体-GB2312"/>
          <w:b/>
          <w:bCs/>
          <w:color w:val="000000"/>
          <w:sz w:val="32"/>
          <w:szCs w:val="32"/>
          <w:lang w:eastAsia="zh-CN"/>
        </w:rPr>
        <w:t>。</w:t>
      </w:r>
      <w:r>
        <w:rPr>
          <w:rFonts w:hint="eastAsia" w:ascii="仿宋_GB2312" w:hAnsi="仿宋_GB2312" w:eastAsia="仿宋_GB2312" w:cs="仿宋_GB2312"/>
          <w:color w:val="000000"/>
          <w:sz w:val="32"/>
          <w:szCs w:val="32"/>
        </w:rPr>
        <w:t>课题组的问卷调查显示，27%的受访企业遇到过国际合规问题，42%的受访企业经营受到负面影响。其中，年收入规模在500万以下的中小微卖家受影响最大，受处罚及经营受冲击的受访企业占比分别高达57%和67%。</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封店的经济损失，包括营收下降、货物积压甩卖、停工裁员等。据深圳跨境电商协会分析，仅2021年5―7月亚马逊集中封店的2个月期间，我国跨境电商行业损失金额已超千亿元。2021年7月8日，跨境电商头部的某上市公司被亚马逊封闭了340个站点、冻结资金1.3亿元，给企业造成经济损失已超过16亿元。部分卖家甚至因此而破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因支付平台冻结资金造成的巨大损失。2022年3月，PayPal对中国卖家账户冻结数额从几千至几十万美元，有的账号直接清零。截至2022年3月28日，跨境电商某大卖家独立站的29个PayPal账号被扣款及冻结资金合计7849万元，占公司2020年年末经审计货币资金的8.1%。</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中国卖家数量、销售规模大幅减少。据Marketplace Pulse数据，亚马逊上的中国顶级卖家销售额占比从2020年底的42.3%下降到2021年底的36.9%。</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（三）对国外平台依赖度高加剧我国跨境电商受合规制约</w:t>
      </w:r>
      <w:r>
        <w:rPr>
          <w:rFonts w:hint="eastAsia" w:ascii="CESI楷体-GB2312" w:hAnsi="CESI楷体-GB2312" w:eastAsia="CESI楷体-GB2312" w:cs="CESI楷体-GB2312"/>
          <w:b/>
          <w:bCs/>
          <w:color w:val="000000"/>
          <w:sz w:val="32"/>
          <w:szCs w:val="32"/>
          <w:lang w:eastAsia="zh-CN"/>
        </w:rPr>
        <w:t>。</w:t>
      </w:r>
      <w:r>
        <w:rPr>
          <w:rFonts w:hint="eastAsia" w:ascii="仿宋_GB2312" w:hAnsi="仿宋_GB2312" w:eastAsia="仿宋_GB2312" w:cs="仿宋_GB2312"/>
          <w:color w:val="000000"/>
          <w:sz w:val="32"/>
          <w:szCs w:val="32"/>
        </w:rPr>
        <w:t>调查问卷显示，亚马逊、eBay等电商平台覆盖全球主要市场、客流量大，是我国企业发展业务的主要平台。其中，亚马逊在全球20个市场建有站点，中国卖家占比超过四成。虽然日益兴起的独立站成为企业品牌战略的重要选择，截至2021年底有24%的中国跨境电商卖家建立了独立站，但由于国际消费者习惯于使用国际支付平台和浏览社交媒体等广告，通过支付平台、广告社交平台仍是主要的经营渠道和方式，独立站在降低对跨境电商平台依赖、形成用户积累上尚有较大空间。例如，第三方支付平台PayPal业务覆盖200多个国家，有4.26亿个活跃用户；Facebook、YouTube、Google等国外平台则是独立站营销主渠道。对国外平台依赖度高，凸显出国际合规问题的长期性和紧迫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二、我国跨境电商企业合规短板多，公共服务存在弱项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（一）中小跨境电商企业面临的主要合规问题</w:t>
      </w:r>
      <w:r>
        <w:rPr>
          <w:rFonts w:hint="eastAsia" w:ascii="CESI楷体-GB2312" w:hAnsi="CESI楷体-GB2312" w:eastAsia="CESI楷体-GB2312" w:cs="CESI楷体-GB2312"/>
          <w:b/>
          <w:bCs/>
          <w:color w:val="000000"/>
          <w:sz w:val="32"/>
          <w:szCs w:val="32"/>
          <w:lang w:eastAsia="zh-CN"/>
        </w:rPr>
        <w:t>。</w:t>
      </w:r>
      <w:r>
        <w:rPr>
          <w:rFonts w:hint="eastAsia" w:ascii="仿宋_GB2312" w:hAnsi="仿宋_GB2312" w:eastAsia="仿宋_GB2312" w:cs="仿宋_GB2312"/>
          <w:color w:val="000000"/>
          <w:sz w:val="32"/>
          <w:szCs w:val="32"/>
        </w:rPr>
        <w:t>中国卖家涉及的国际合规问题主要有四个方面：</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涉嫌虚假评论，国际平台高度重视评论的真实性，以此作为商品推荐排序的重要依据，一些中国卖家可能采用现金返利等方式激励消费者进行评论。</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虚假交易，个别卖家存在大量刷单、虚假发货、虚假物流等非真实交易问题。</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关联账户，亚马逊要求一个商家在一个站点只能开一个店铺，PayPal禁止与涉及任意受限活动之账户的关联账户有控制权，而一些大卖家习惯于采用店铺群、大量铺货等方式促进营销。</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产品问题，涉嫌知识产权侵权、产品质量、安全等问题。调查问卷结果也显示，受访企业受到国际合规处罚主要涉及知识产权、物流、产品质量、评论和宣传方面。</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（二）中小跨境电商企业适应国际合规存在突出短板</w:t>
      </w:r>
      <w:r>
        <w:rPr>
          <w:rFonts w:hint="eastAsia" w:ascii="CESI楷体-GB2312" w:hAnsi="CESI楷体-GB2312" w:eastAsia="CESI楷体-GB2312" w:cs="CESI楷体-GB2312"/>
          <w:b/>
          <w:bCs/>
          <w:color w:val="000000"/>
          <w:sz w:val="32"/>
          <w:szCs w:val="32"/>
          <w:lang w:eastAsia="zh-CN"/>
        </w:rPr>
        <w:t>。</w:t>
      </w:r>
      <w:r>
        <w:rPr>
          <w:rFonts w:hint="eastAsia" w:ascii="仿宋_GB2312" w:hAnsi="仿宋_GB2312" w:eastAsia="仿宋_GB2312" w:cs="仿宋_GB2312"/>
          <w:color w:val="000000"/>
          <w:sz w:val="32"/>
          <w:szCs w:val="32"/>
        </w:rPr>
        <w:t>调研发现，我国跨境电商企业存在短板主要表现在合规成本高、学习渠道少、合规意识弱和专业人才匮乏等四个方面。</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购买专业服务成本高。跨境电商企业普遍反映无力承担购买专业服务的成本，62.5%的受访企业认为成本高。专业服务成本制约的主要是中等规模企业，其中47%收入规模低于5000万元的小企业、69%收入规模5000万元至50亿元以下的中型企业、58%收入规模50亿元以上的大企业认为成本高。</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缺乏合规知识学习渠道。国际合规内容多且复杂、变化快，对于中小企业而言，如果没有系统的公共服务平台，就很难获取系统全面信息。超半数企业选择此项，反映了国内公共服务亟须加强。</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企业合规意识弱。近四成受访企业（其中70%为中等规模企业）表示自身“合规意识不强”。在跨境电商高速增长背景下，个别卖家过于看重短期商业利益、缺乏国际合规意识，在国际平台上“投机”“钻空子”，影响了中国跨境电商的整体国际形象。</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缺乏国际合规专业人才。合规涉及国际法律、财务、营销、专业外语等多方面知识，超过三成受访企业、高达60%的受访小企业认为存在“人才短板”，是制约跨境电商行业发展的突出短板之一。</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（三）跨境电商企业对加强合规的诉求日趋强烈</w:t>
      </w:r>
      <w:r>
        <w:rPr>
          <w:rFonts w:hint="eastAsia" w:ascii="CESI楷体-GB2312" w:hAnsi="CESI楷体-GB2312" w:eastAsia="CESI楷体-GB2312" w:cs="CESI楷体-GB2312"/>
          <w:b/>
          <w:bCs/>
          <w:color w:val="000000"/>
          <w:sz w:val="32"/>
          <w:szCs w:val="32"/>
          <w:lang w:eastAsia="zh-CN"/>
        </w:rPr>
        <w:t>。</w:t>
      </w:r>
      <w:r>
        <w:rPr>
          <w:rFonts w:hint="eastAsia" w:ascii="仿宋_GB2312" w:hAnsi="仿宋_GB2312" w:eastAsia="仿宋_GB2312" w:cs="仿宋_GB2312"/>
          <w:b/>
          <w:bCs/>
          <w:color w:val="000000"/>
          <w:sz w:val="32"/>
          <w:szCs w:val="32"/>
        </w:rPr>
        <w:t>企业越来越重视国际合规。</w:t>
      </w:r>
      <w:r>
        <w:rPr>
          <w:rFonts w:hint="eastAsia" w:ascii="仿宋_GB2312" w:hAnsi="仿宋_GB2312" w:eastAsia="仿宋_GB2312" w:cs="仿宋_GB2312"/>
          <w:color w:val="000000"/>
          <w:sz w:val="32"/>
          <w:szCs w:val="32"/>
        </w:rPr>
        <w:t>据部分跨境电商协会反映，近两年来，随着国际平台加强合规执行力度，企业对合规重要性的认识有明显提升。问卷调查显示，国际合规重要性的平均得分是7分，经营规模超10亿元的企业认为重要性达到8.2分（1―10分，依次表示重视程度由低到高），凸显出跨境电商企业随着规模发展，对国际合规的需求显著提升。</w:t>
      </w:r>
      <w:r>
        <w:rPr>
          <w:rFonts w:hint="eastAsia" w:ascii="仿宋_GB2312" w:hAnsi="仿宋_GB2312" w:eastAsia="仿宋_GB2312" w:cs="仿宋_GB2312"/>
          <w:b/>
          <w:bCs/>
          <w:color w:val="000000"/>
          <w:sz w:val="32"/>
          <w:szCs w:val="32"/>
        </w:rPr>
        <w:t>企业为适应国际合规作出积极调整。</w:t>
      </w:r>
      <w:r>
        <w:rPr>
          <w:rFonts w:hint="eastAsia" w:ascii="仿宋_GB2312" w:hAnsi="仿宋_GB2312" w:eastAsia="仿宋_GB2312" w:cs="仿宋_GB2312"/>
          <w:color w:val="000000"/>
          <w:sz w:val="32"/>
          <w:szCs w:val="32"/>
        </w:rPr>
        <w:t>除了进行预防性的多平台布局之外，46.5%的受访企业选择加强知识产权合规的内部审查，45.8%的企业选择购买第三方法律和税收等服务，36.6%的企业选择组建法务与合规部门，29.0%的企业选择加强专业人才配备。</w:t>
      </w:r>
      <w:r>
        <w:rPr>
          <w:rFonts w:hint="eastAsia" w:ascii="仿宋_GB2312" w:hAnsi="仿宋_GB2312" w:eastAsia="仿宋_GB2312" w:cs="仿宋_GB2312"/>
          <w:b/>
          <w:bCs/>
          <w:color w:val="000000"/>
          <w:sz w:val="32"/>
          <w:szCs w:val="32"/>
        </w:rPr>
        <w:t>企业在国际合规公共服务上有较高期待。</w:t>
      </w:r>
      <w:r>
        <w:rPr>
          <w:rFonts w:hint="eastAsia" w:ascii="仿宋_GB2312" w:hAnsi="仿宋_GB2312" w:eastAsia="仿宋_GB2312" w:cs="仿宋_GB2312"/>
          <w:color w:val="000000"/>
          <w:sz w:val="32"/>
          <w:szCs w:val="32"/>
        </w:rPr>
        <w:t>除行业资金扶持和融资支持的较高需求外，超四成受访企业希望政府搭建信息交流平台，1/3受访企业希望加强国际合规方面的指导、加强培训与专业人才供给，31%的受访企业希望获得法律支持，尤其是小微企业诉求更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（四）助力企业国际合规的公共服务明显不足</w:t>
      </w:r>
      <w:r>
        <w:rPr>
          <w:rFonts w:hint="eastAsia" w:ascii="CESI楷体-GB2312" w:hAnsi="CESI楷体-GB2312" w:eastAsia="CESI楷体-GB2312" w:cs="CESI楷体-GB2312"/>
          <w:b/>
          <w:bCs/>
          <w:color w:val="000000"/>
          <w:sz w:val="32"/>
          <w:szCs w:val="32"/>
          <w:lang w:eastAsia="zh-CN"/>
        </w:rPr>
        <w:t>。</w:t>
      </w:r>
      <w:r>
        <w:rPr>
          <w:rFonts w:hint="eastAsia" w:ascii="仿宋_GB2312" w:hAnsi="仿宋_GB2312" w:eastAsia="仿宋_GB2312" w:cs="仿宋_GB2312"/>
          <w:color w:val="000000"/>
          <w:sz w:val="32"/>
          <w:szCs w:val="32"/>
        </w:rPr>
        <w:t>加强公共服务是弥补跨境电商国际合规短板最为快捷有效的方式，对能力亟待提升的广大中小企业而言价值尤为凸显。部分省份、部委出台的跨境电商规范指引，如海南省市场监管局制定的《跨境电商常见经营行为合规指引（征求意见稿）》，商务部研究院发布的《中国企业跨境电商出口指南》，关注点为国内合规环节，主要就通关和进出口、税务等问题进行指导。企业反映，国内尚缺乏权威机构制定的跨境电商国际合规指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三、尽快出台跨境电商国际合规指引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为帮助企业及时渡过合规关，亟须“快、细、实”地推出跨境电商国际合规指引。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（一）尽快出台并“动态更新”国际合规指引</w:t>
      </w:r>
      <w:r>
        <w:rPr>
          <w:rFonts w:hint="eastAsia" w:ascii="CESI楷体-GB2312" w:hAnsi="CESI楷体-GB2312" w:eastAsia="CESI楷体-GB2312" w:cs="CESI楷体-GB2312"/>
          <w:b/>
          <w:bCs/>
          <w:color w:val="000000"/>
          <w:sz w:val="32"/>
          <w:szCs w:val="32"/>
          <w:lang w:eastAsia="zh-CN"/>
        </w:rPr>
        <w:t>。</w:t>
      </w:r>
      <w:r>
        <w:rPr>
          <w:rFonts w:hint="eastAsia" w:ascii="仿宋_GB2312" w:hAnsi="仿宋_GB2312" w:eastAsia="仿宋_GB2312" w:cs="仿宋_GB2312"/>
          <w:color w:val="000000"/>
          <w:sz w:val="32"/>
          <w:szCs w:val="32"/>
        </w:rPr>
        <w:t>考虑到国际合规影响持续扩大，亟须尽快出台指引、弥补公共服务的短板。“快”体现在两个方面，</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尽快明确制定机制。建议由商务主管部门支持，由行业协会组织，商家、研究机构等发挥各自优势、共同参与建设。行业协会相对中立，与企业有着紧密联系，特别是在国际上认可其公正性和非政府属性；建议由财政专项经费出资，依托深圳、杭州等市场主体较为集中的地方跨境电商协会，统筹人力、信息、资金，尽可能在较短时间内研究制定推出。</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建立动态更新机制。企业反映，以往有些材料往往出台一个版本后更新频率较慢，无法跟上行业发展新特点和形势变化。建议创新国际合规指引的制定机制，及时跟踪形势变化进行滚动更新，并通过微信公众号、小程序和应用程序（APP）等方式发布，便于众多中小企业通过移动端随时查阅了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（二）根据中小企业需求“量身打造”指引</w:t>
      </w:r>
      <w:r>
        <w:rPr>
          <w:rFonts w:hint="eastAsia" w:ascii="CESI楷体-GB2312" w:hAnsi="CESI楷体-GB2312" w:eastAsia="CESI楷体-GB2312" w:cs="CESI楷体-GB2312"/>
          <w:b/>
          <w:bCs/>
          <w:color w:val="000000"/>
          <w:sz w:val="32"/>
          <w:szCs w:val="32"/>
          <w:lang w:eastAsia="zh-CN"/>
        </w:rPr>
        <w:t>。</w:t>
      </w:r>
      <w:r>
        <w:rPr>
          <w:rFonts w:hint="eastAsia" w:ascii="仿宋_GB2312" w:hAnsi="仿宋_GB2312" w:eastAsia="仿宋_GB2312" w:cs="仿宋_GB2312"/>
          <w:color w:val="000000"/>
          <w:sz w:val="32"/>
          <w:szCs w:val="32"/>
        </w:rPr>
        <w:t>指引内容框架要充分考虑企业诉求。调研发现，跨境电商企业最希望获得的公共服务支持主要包括：广告平台、支付平台和电商平台规则，东道国税收规则、市场准入要求、知识产权注册和保护、国际合规风险点等。国际合规指引应综合企业需求研究出台各项公共服务支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议打造“1-2-4-6”的合规指引体系。打造“一个基础”，即各项国际合规要求，解决“是什么、有什么”的问题，帮助企业系统了解国际合规新趋势、新要求。强化“两个辅助”，即专家解读和案例示范，充分发挥专家和典型企业的经验，帮助解决众多企业对合规理解不到位、没有代入感等问题，让企业读得懂、看得清。聚合“四个环节”，通过认识、预防、处置、提升四大环节，不仅要了解国际规则的调整变化，还要通过中国商家遇到的主要风险点、疑难点和处罚案例，学会预防合规风险，对常遇到的问题给出解决的思路建议、流程图，提供清晰的应对指导，更要帮助企业形成合规文化、提高合规能力。聚焦“六大支柱”，即企业最希望获得的合规信息：主要跨境电商平台规则、支付平台规则、广告平台规则、东道国市场准入要求、知识产权保护、税收规则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lang w:eastAsia="zh-CN"/>
        </w:rPr>
      </w:pPr>
      <w:r>
        <w:rPr>
          <w:rFonts w:hint="eastAsia" w:ascii="CESI楷体-GB2312" w:hAnsi="CESI楷体-GB2312" w:eastAsia="CESI楷体-GB2312" w:cs="CESI楷体-GB2312"/>
          <w:b/>
          <w:bCs/>
          <w:color w:val="000000"/>
          <w:sz w:val="32"/>
          <w:szCs w:val="32"/>
        </w:rPr>
        <w:t>（三）加强“用好指引”的实施指导</w:t>
      </w:r>
      <w:r>
        <w:rPr>
          <w:rFonts w:hint="eastAsia" w:ascii="CESI楷体-GB2312" w:hAnsi="CESI楷体-GB2312" w:eastAsia="CESI楷体-GB2312" w:cs="CESI楷体-GB2312"/>
          <w:b/>
          <w:bCs/>
          <w:color w:val="000000"/>
          <w:sz w:val="32"/>
          <w:szCs w:val="32"/>
          <w:lang w:eastAsia="zh-CN"/>
        </w:rPr>
        <w:t>。</w:t>
      </w:r>
      <w:r>
        <w:rPr>
          <w:rFonts w:hint="eastAsia" w:ascii="仿宋_GB2312" w:hAnsi="仿宋_GB2312" w:eastAsia="仿宋_GB2312" w:cs="仿宋_GB2312"/>
          <w:color w:val="000000"/>
          <w:sz w:val="32"/>
          <w:szCs w:val="32"/>
        </w:rPr>
        <w:t>指引要确保应用实效。为此，一要注重培训。建议推出契合跨境电商行业特点的系列国际合规公开课，邀请行业专家、律师、税务领域专家等做专题讲座和专业解读。二要注重反馈。建议行业协会定期征询企业意见建议，不断完善指引，提升企业参与度。三要注重实用性。建议提供协会和专家咨询渠道，便于企业遇到问题后更快找到解决问题的渠道和资源，加强经验案例分享。四要注重针对性服务。建议将最新的规则变化信息、处罚信息放在突出位置，第一时间主动推送给企业，减少“找”的时间和“用”的成本。</w:t>
      </w:r>
      <w:r>
        <w:rPr>
          <w:rFonts w:hint="eastAsia" w:ascii="CESI楷体-GB2312" w:hAnsi="CESI楷体-GB2312" w:eastAsia="CESI楷体-GB2312" w:cs="CESI楷体-GB2312"/>
          <w:color w:val="000000"/>
          <w:sz w:val="32"/>
          <w:szCs w:val="32"/>
          <w:lang w:val="en-US" w:eastAsia="zh-CN"/>
        </w:rPr>
        <w:t>（转载自国务院发展研究中心网站）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黑体_GBK" w:hAnsi="方正黑体_GBK" w:eastAsia="方正黑体_GBK" w:cs="方正黑体_GBK"/>
          <w:color w:val="000000"/>
          <w:sz w:val="32"/>
          <w:szCs w:val="32"/>
        </w:rPr>
        <w:br w:type="page"/>
      </w:r>
      <w:r>
        <w:rPr>
          <w:rFonts w:hint="eastAsia" w:ascii="方正小标宋简体" w:hAnsi="方正小标宋简体" w:eastAsia="方正小标宋简体" w:cs="方正小标宋简体"/>
          <w:color w:val="000000"/>
          <w:sz w:val="44"/>
          <w:szCs w:val="44"/>
        </w:rPr>
        <w:t>深圳协同推进经济高质量发展和生态环境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高水平保护的实践探索与经验启示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CESI楷体-GB2312" w:hAnsi="CESI楷体-GB2312" w:eastAsia="CESI楷体-GB2312" w:cs="CESI楷体-GB2312"/>
          <w:color w:val="000000"/>
          <w:sz w:val="32"/>
          <w:szCs w:val="32"/>
          <w:lang w:val="en-US" w:eastAsia="zh-CN"/>
        </w:rPr>
      </w:pPr>
      <w:r>
        <w:rPr>
          <w:rFonts w:hint="eastAsia" w:ascii="CESI楷体-GB2312" w:hAnsi="CESI楷体-GB2312" w:eastAsia="CESI楷体-GB2312" w:cs="CESI楷体-GB2312"/>
          <w:color w:val="000000"/>
          <w:sz w:val="32"/>
          <w:szCs w:val="32"/>
          <w:lang w:val="en-US" w:eastAsia="zh-CN"/>
        </w:rPr>
        <w:t xml:space="preserve">国务院发展研究中心资源与环境政策研究所 </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CESI楷体-GB2312" w:hAnsi="CESI楷体-GB2312" w:eastAsia="CESI楷体-GB2312" w:cs="CESI楷体-GB2312"/>
          <w:color w:val="000000"/>
          <w:sz w:val="32"/>
          <w:szCs w:val="32"/>
          <w:lang w:val="en-US" w:eastAsia="zh-CN"/>
        </w:rPr>
      </w:pPr>
      <w:r>
        <w:rPr>
          <w:rFonts w:hint="eastAsia" w:ascii="CESI楷体-GB2312" w:hAnsi="CESI楷体-GB2312" w:eastAsia="CESI楷体-GB2312" w:cs="CESI楷体-GB2312"/>
          <w:color w:val="000000"/>
          <w:sz w:val="32"/>
          <w:szCs w:val="32"/>
          <w:lang w:val="en-US" w:eastAsia="zh-CN"/>
        </w:rPr>
        <w:t>吴 平 矫旭东 赵 琛 彭建明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改革开放40多年来，深圳从“三来一补”到“世界工厂”“创新之都”，从昔日边陲小镇到具有全球影响力的国际化大都市，创造了令世界惊叹的经济奇迹。特别是党的十八大以来，深圳践行“绿水青山就是金山银山”的理念，生态环境保护工作的理念、目标和措施不断发生深刻变革，实现了经济社会和生态环境全面协调可持续发展。深圳的发展历程和实践表明，唯有坚持生态优先、绿色发展，坚持发展和改革的办法解决经济发展过程中产生的环境问题，才能在全球科技革命和产业变革中赢得主动权，实现经济高质量发展与生态环境高水平保护（以下简称“双高”）协同推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一、深圳协同推进“双高”的基础条件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前，深圳已经进入“经济高质量发展、环境高水平保护”协同推进阶段，具备实现“双高”的宏观前提；产业优化升级和流域协同治理是构建高质量现代化经济体系的必然要求，也是解决生产和生活污染的关键，构成了“双高”的中观基础；企业充满活力、居民环保意识增强，形成了实现“双高”的微观活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CESI楷体-GB2312" w:hAnsi="CESI楷体-GB2312" w:eastAsia="CESI楷体-GB2312" w:cs="CESI楷体-GB2312"/>
          <w:b/>
          <w:bCs/>
          <w:color w:val="000000"/>
          <w:sz w:val="32"/>
          <w:szCs w:val="32"/>
          <w:lang w:eastAsia="zh-CN"/>
        </w:rPr>
      </w:pPr>
      <w:r>
        <w:rPr>
          <w:rFonts w:hint="eastAsia" w:ascii="CESI楷体-GB2312" w:hAnsi="CESI楷体-GB2312" w:eastAsia="CESI楷体-GB2312" w:cs="CESI楷体-GB2312"/>
          <w:b/>
          <w:bCs/>
          <w:color w:val="000000"/>
          <w:sz w:val="32"/>
          <w:szCs w:val="32"/>
        </w:rPr>
        <w:t>（一）经济发展快、环保水平高，宏观前提具备</w:t>
      </w:r>
      <w:r>
        <w:rPr>
          <w:rFonts w:hint="eastAsia" w:ascii="CESI楷体-GB2312" w:hAnsi="CESI楷体-GB2312" w:eastAsia="CESI楷体-GB2312" w:cs="CESI楷体-GB2312"/>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经济增长是协同推进“双高”的宏观前提。2021年深圳国内生产总值（GDP）达到3.07万亿元，是继上海、北京后，中国第三个GDP突破3万亿元大关的城市；人均GDP 17.46万元，约为全国平均水平的2倍。在保持经济高速发展的同时，深圳出台了一系列政策法规，不断健全经济发展全过程环境管理制度。“十三五”期间，深圳PM2.5年均浓度降至19微克/立方米，空气质量优良天数比例达97%，在国内超大城市中处于领先水平。水污染治理实现历史性转变，率先实现全市域消除黑臭水体。2019年，被国务院评为重点流域水环境质量改善明显的5个城市之一，入选黑臭水体治理全国示范城市。深圳成功跨越了环境库兹涅兹曲线（EKC）拐点，这在很大程度上归功于经济发展方式转变，环境问题在经济发展过程中产生，也要用发展的思路和办法解决。深圳的经济繁荣为生态环境保护创造了条件，优良的生态环境禀赋成为吸引企业集聚的关键要素。</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CESI楷体-GB2312" w:hAnsi="CESI楷体-GB2312" w:eastAsia="CESI楷体-GB2312" w:cs="CESI楷体-GB2312"/>
          <w:b/>
          <w:bCs/>
          <w:color w:val="000000"/>
          <w:sz w:val="32"/>
          <w:szCs w:val="32"/>
          <w:lang w:eastAsia="zh-CN"/>
        </w:rPr>
      </w:pPr>
      <w:r>
        <w:rPr>
          <w:rFonts w:hint="eastAsia" w:ascii="CESI楷体-GB2312" w:hAnsi="CESI楷体-GB2312" w:eastAsia="CESI楷体-GB2312" w:cs="CESI楷体-GB2312"/>
          <w:b/>
          <w:bCs/>
          <w:color w:val="000000"/>
          <w:sz w:val="32"/>
          <w:szCs w:val="32"/>
        </w:rPr>
        <w:t>（二）产业控源头、治理求多赢，中观基础扎实</w:t>
      </w:r>
      <w:r>
        <w:rPr>
          <w:rFonts w:hint="eastAsia" w:ascii="CESI楷体-GB2312" w:hAnsi="CESI楷体-GB2312" w:eastAsia="CESI楷体-GB2312" w:cs="CESI楷体-GB2312"/>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产业优化升级是协同推进“双高”的中观基础。深圳以绿色发展为引领，注重产业选择、结构调整与优化升级，从源头减少污染物的产生和排放，不断强化污染治理协同控制，避免治理一种污染又产生新的污染，实现环境高水平保护。2016―2020年，深圳形成了以电子信息产业为主导，生物医药、新能源和新材料为引领的高新技术产业集群。2021年，深圳战略性新兴产业增加值12146.4亿元，占地区生产总值的39.6%。其中，绿色低碳产业增加值1386.8亿元，占战略性新兴产业增加值的11.4%。联合国工业发展组织和联合国环境规划署绿色产业平台中国办公室发布的《2021中国城市绿色竞争力指数报告》显示，深圳城市绿色竞争力在全国289个城市中排名第一。深圳成立城市流域管理机构，统筹“厂、网、河”等涉水全要素各环节，联合调度水质净化厂、管网、泵站、水闸等设施，对流域涉水事务实行统筹协调、统一管理和精准调度。深圳市制造业结构升级和价值提升，为经济发展夯实了产业基础，也为环境高水平保护提供了中观支持。</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CESI楷体-GB2312" w:cs="仿宋_GB2312"/>
          <w:color w:val="000000"/>
          <w:sz w:val="32"/>
          <w:szCs w:val="32"/>
          <w:lang w:eastAsia="zh-CN"/>
        </w:rPr>
      </w:pPr>
      <w:r>
        <w:rPr>
          <w:rFonts w:hint="eastAsia" w:ascii="CESI楷体-GB2312" w:hAnsi="CESI楷体-GB2312" w:eastAsia="CESI楷体-GB2312" w:cs="CESI楷体-GB2312"/>
          <w:b/>
          <w:bCs/>
          <w:color w:val="000000"/>
          <w:sz w:val="32"/>
          <w:szCs w:val="32"/>
        </w:rPr>
        <w:t>（三）新增企业多、环保意识强，微观活力强劲</w:t>
      </w:r>
      <w:r>
        <w:rPr>
          <w:rFonts w:hint="eastAsia" w:ascii="CESI楷体-GB2312" w:hAnsi="CESI楷体-GB2312" w:eastAsia="CESI楷体-GB2312" w:cs="CESI楷体-GB2312"/>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活力是协同推进“双高”的微观保障。企业是经济发展主体，也是环境保护的责任主体。深圳市注重优化营商环境，发挥企业在经济发展和环境保护中的主力军作用。2015―2019年，深圳新增企业连年稳定在50万家左右，共新增超过254万家商事主体。企业的稳定增长，不仅保证了经济发展的活力，也成为年轻人创新创业的向往之地。同时，深圳市坚持构建人人参与生态文明城市建设的全民行动体系，出台《公民生态环境行为规范（试行）》等系列文件。深圳市的新增企业多、经济韧性好、居民环保意识强，是深圳协同推进“双高”的微观基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二、深圳协同推进“双高”的实践探索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深圳经济特区40余年改革开放实践，体现在对生态文明理念的积极践行，体现在对协同推进“双高”的广泛共识，在协同推进“双高”方面走出了一条“深圳道路”。</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（一）树立绿色化理念</w:t>
      </w:r>
      <w:r>
        <w:rPr>
          <w:rFonts w:hint="eastAsia" w:ascii="CESI楷体-GB2312" w:hAnsi="CESI楷体-GB2312" w:eastAsia="CESI楷体-GB2312" w:cs="CESI楷体-GB2312"/>
          <w:b/>
          <w:bCs/>
          <w:color w:val="000000"/>
          <w:sz w:val="32"/>
          <w:szCs w:val="32"/>
          <w:lang w:eastAsia="zh-CN"/>
        </w:rPr>
        <w:t>。</w:t>
      </w:r>
      <w:r>
        <w:rPr>
          <w:rFonts w:hint="eastAsia" w:ascii="仿宋_GB2312" w:hAnsi="仿宋_GB2312" w:eastAsia="仿宋_GB2312" w:cs="仿宋_GB2312"/>
          <w:color w:val="000000"/>
          <w:sz w:val="32"/>
          <w:szCs w:val="32"/>
        </w:rPr>
        <w:t>理念创新是深圳协同推进“双高”的行动先导。深圳始终坚持以习近平生态文明思想为指导，牢固树立“绿水青山就是金山银山”的理念，率先确立可持续发展和生态立市战略，打造人与自然和谐共生的美丽中国典范，坚定不移走生态优先绿色发展之路，推动生态环境保护实现跨越式发展。近年来，全市10个区被生态环境部授予“国家生态文明建设示范区”称号，南山区成功创建“绿水青山就是金山银山”实践创新基地，成为全国唯一获评“国家生态文明建设示范市”的副省级城市。盐田区在国内率先建立“碳币”服务平台，打造“双联通•四驱动”碳普惠体系，通过联通低碳行为数据平台与碳交易市场平台，实现从低碳行为数据采集、积分、碳减排量核证到交易变现的闭环。生态文明理念深入人心，生态文明建设成效日趋明显。</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（二）打造服务型政府</w:t>
      </w:r>
      <w:r>
        <w:rPr>
          <w:rFonts w:hint="eastAsia" w:ascii="CESI楷体-GB2312" w:hAnsi="CESI楷体-GB2312" w:eastAsia="CESI楷体-GB2312" w:cs="CESI楷体-GB2312"/>
          <w:b/>
          <w:bCs/>
          <w:color w:val="000000"/>
          <w:sz w:val="32"/>
          <w:szCs w:val="32"/>
          <w:lang w:eastAsia="zh-CN"/>
        </w:rPr>
        <w:t>。</w:t>
      </w:r>
      <w:r>
        <w:rPr>
          <w:rFonts w:hint="eastAsia" w:ascii="仿宋_GB2312" w:hAnsi="仿宋_GB2312" w:eastAsia="仿宋_GB2312" w:cs="仿宋_GB2312"/>
          <w:color w:val="000000"/>
          <w:sz w:val="32"/>
          <w:szCs w:val="32"/>
        </w:rPr>
        <w:t>提升政府服务效能是深圳协同推进“双高”的有力举措。一是了解企业需求，提效增质送服务。深圳市政府相关部门主要领导深入企业调研，通过建立挂点服务制度，面对面了解企业需求；出台实施助企纾困政策，支持企业复工复产、渡过难关；通过“深i企”平台、政策精准直达企业服务平台，直接了解企业诉求，建立专班为企业排忧解难。二是推进优化营商环境改革，从政府审批流程、办事效率等痛点、堵点改起，率先推出“秒报秒批一体化”智慧审批、“不见面审批”“最多跑一次”等改革，实现百姓“点菜”、政府“买单”。如深圳龙岗区基于“政府支持、企业为主、透明高效、共建共享”原则，通过“互联网+政务服务”，依托全区政务服务平台和“一窗式”系统，在全国首创政企共建产业园区公共服务模式，打破了过去由政府或企业单方面提供服务的模式，实现了“马上办、网上办、就近办、一次办”的便民政务服务模式。</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（三）出台一批标志性制度</w:t>
      </w:r>
      <w:r>
        <w:rPr>
          <w:rFonts w:hint="eastAsia" w:ascii="CESI楷体-GB2312" w:hAnsi="CESI楷体-GB2312" w:eastAsia="CESI楷体-GB2312" w:cs="CESI楷体-GB2312"/>
          <w:b/>
          <w:bCs/>
          <w:color w:val="000000"/>
          <w:sz w:val="32"/>
          <w:szCs w:val="32"/>
          <w:lang w:eastAsia="zh-CN"/>
        </w:rPr>
        <w:t>。</w:t>
      </w:r>
      <w:r>
        <w:rPr>
          <w:rFonts w:hint="eastAsia" w:ascii="仿宋_GB2312" w:hAnsi="仿宋_GB2312" w:eastAsia="仿宋_GB2312" w:cs="仿宋_GB2312"/>
          <w:color w:val="000000"/>
          <w:sz w:val="32"/>
          <w:szCs w:val="32"/>
        </w:rPr>
        <w:t>制度创新是深圳协同推进“双高”的制胜法宝。深圳首创党政领导干部生态文明建设考核、基本生态控制线等一批标志性制度，制定发布了特区环保条例、噪声污染条例等20多项生态环保法规和40多项地方标准，多个制度属全国首创，逐步形成具有深圳特色的生态文明制度体系。例如，发布实施全国首部《土壤环境背景值》地方标准，为深圳市集中式饮用水水源地、自然保护区、建设用地土壤环境管理提供重要技术依据。坚持精准治污、科学治污、依法治污，制定实施“污染防治攻坚战三年行动计划”，污染防治攻坚战取得决定性胜利。开展污染物入海总量控制，提出“西削东控”入海总氮总量控制原则，以海洋环境容量倒逼陆域入海污染物总量控制。建立入海排口常态化管理机制，上线“排口巡查”软件平台（APP），实现“巡查—监测—溯源—整治”入海排口监管闭环。</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（四）开展一组精准化行动</w:t>
      </w:r>
      <w:r>
        <w:rPr>
          <w:rFonts w:hint="eastAsia" w:ascii="CESI楷体-GB2312" w:hAnsi="CESI楷体-GB2312" w:eastAsia="CESI楷体-GB2312" w:cs="CESI楷体-GB2312"/>
          <w:b/>
          <w:bCs/>
          <w:color w:val="000000"/>
          <w:sz w:val="32"/>
          <w:szCs w:val="32"/>
          <w:lang w:eastAsia="zh-CN"/>
        </w:rPr>
        <w:t>。</w:t>
      </w:r>
      <w:r>
        <w:rPr>
          <w:rFonts w:hint="eastAsia" w:ascii="仿宋_GB2312" w:hAnsi="仿宋_GB2312" w:eastAsia="仿宋_GB2312" w:cs="仿宋_GB2312"/>
          <w:color w:val="000000"/>
          <w:sz w:val="32"/>
          <w:szCs w:val="32"/>
        </w:rPr>
        <w:t>精准行动是深圳协同推进“双高”的强心剂。开展生态环境专项执法“利剑四号”行动，印发《茅洲河和淡水河流域打击非法排污“百日行动方案”》《深圳市茅洲河流域联合打击环境污染犯罪执法行动方案》，通过挂图作战、溯源追踪、高效精准、区域联动等执法方式，重拳打击环境违法行为。深入实施“深圳蓝”可持续行动，开展全市环境空气质量精细化监测和预报预警，对全市310条河流402个点位开展“一周一测”和物业式巡管。同时也对自然保护区开展“绿盾”专项行动，强化自然保护地监管，完善自然保护区体系建设，对全市自然保护区人为活动进行全覆盖遥感监测。</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（五）搭建数字化平台</w:t>
      </w:r>
      <w:r>
        <w:rPr>
          <w:rFonts w:hint="eastAsia" w:ascii="CESI楷体-GB2312" w:hAnsi="CESI楷体-GB2312" w:eastAsia="CESI楷体-GB2312" w:cs="CESI楷体-GB2312"/>
          <w:b/>
          <w:bCs/>
          <w:color w:val="000000"/>
          <w:sz w:val="32"/>
          <w:szCs w:val="32"/>
          <w:lang w:eastAsia="zh-CN"/>
        </w:rPr>
        <w:t>。</w:t>
      </w:r>
      <w:r>
        <w:rPr>
          <w:rFonts w:hint="eastAsia" w:ascii="仿宋_GB2312" w:hAnsi="仿宋_GB2312" w:eastAsia="仿宋_GB2312" w:cs="仿宋_GB2312"/>
          <w:color w:val="000000"/>
          <w:sz w:val="32"/>
          <w:szCs w:val="32"/>
        </w:rPr>
        <w:t>信息技术是深圳协同推进“双高”的有效利器。深圳以广东省“数字政府”综合改革试点为契机，不断增强城市的智慧化管理服务能力，助力城市治理从“经验治理”向“科学治理”转变。以数据资源共建、共享、共用为突破口，通过“一中心”—生态环境大数据中心、“四平台”—智慧政务平台、智慧监管平台、智慧服务平台和智慧应用平台，完成上线48个子系统，初步构建了深圳市生态环境智能管控体系，实现了整体生态环境数据的汇聚、管理、分析与应用以及市区一体化联动指挥调度。生态环境大数据中心和智慧平台对接市政府管理服务指挥中心，构建生态环境治理“一网统管”体系，实现“一屏观全局、一网管全域”。依托生态环境大数据，深圳在提升生态环境治理体系和治理能力现代化水平方面探寻了一条全新的技术路径，为精准锁定污染源、科学决策提供科技支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方正黑体_GBK" w:hAnsi="方正黑体_GBK" w:eastAsia="方正黑体_GBK" w:cs="方正黑体_GBK"/>
          <w:color w:val="000000"/>
          <w:sz w:val="32"/>
          <w:szCs w:val="32"/>
        </w:rPr>
        <w:t>三、推动高质量发展和高水平协同保护的经验启示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济高质量发展是新阶段贯彻新发展理念、构建新发展格局的本质要求和重要基础，生态环境高水平保护是高质量发展的基本要求和重要保障。协同推进“双高”的根本目的在于实现人民群众对高品质生活的追求，重点在于树牢“绿水青山就是金山银山”的理念，在发展中保护、在保护中发展，加快形成节约资源和保护环境的空间格局、产业结构、生产方式、生活方式，把生态效益更好转化为经济效益、社会效益。</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（一）绿色发展是前提</w:t>
      </w:r>
      <w:r>
        <w:rPr>
          <w:rFonts w:hint="eastAsia" w:ascii="CESI楷体-GB2312" w:hAnsi="CESI楷体-GB2312" w:eastAsia="CESI楷体-GB2312" w:cs="CESI楷体-GB2312"/>
          <w:b/>
          <w:bCs/>
          <w:color w:val="000000"/>
          <w:sz w:val="32"/>
          <w:szCs w:val="32"/>
          <w:lang w:eastAsia="zh-CN"/>
        </w:rPr>
        <w:t>。</w:t>
      </w:r>
      <w:r>
        <w:rPr>
          <w:rFonts w:hint="eastAsia" w:ascii="仿宋_GB2312" w:hAnsi="仿宋_GB2312" w:eastAsia="仿宋_GB2312" w:cs="仿宋_GB2312"/>
          <w:color w:val="000000"/>
          <w:sz w:val="32"/>
          <w:szCs w:val="32"/>
        </w:rPr>
        <w:t>发展是解决我国当前一切问题的基础和关键。人是社会发展的本质，唯有人的发展才能推动社会发展，才能真正实现以人为本的新发展理念。在协同推进“双高”过程中，应当进一步贯彻落实绿色发展理念，科学、辩证地认识“双高”。发展的目的是满足人民日益增长的美好生活需要，要牢固树立“良好生态环境是最普惠的民生福祉”这一基本原则；发展的目标是要实现经济高质量发展，是经济、政治、文化、社会和生态文明五位一体的协同发展，不能以其他方面的停滞为代价换取某一个或某些方面的发展；发展的动力是环境高水平保护，以精准的环境管理手段倒逼企业转型升级，以有效的环境经济政策引导企业自觉自愿减污降碳，以消费者的绿色需求吸引企业供给绿色产品，以可持续发展理念影响和教育一代代人，让绿色发展内化于心，让绿色理念成为行为准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（二）精准治理是关键</w:t>
      </w:r>
      <w:r>
        <w:rPr>
          <w:rFonts w:hint="eastAsia" w:ascii="CESI楷体-GB2312" w:hAnsi="CESI楷体-GB2312" w:eastAsia="CESI楷体-GB2312" w:cs="CESI楷体-GB2312"/>
          <w:b/>
          <w:bCs/>
          <w:color w:val="000000"/>
          <w:sz w:val="32"/>
          <w:szCs w:val="32"/>
          <w:lang w:eastAsia="zh-CN"/>
        </w:rPr>
        <w:t>。</w:t>
      </w:r>
      <w:r>
        <w:rPr>
          <w:rFonts w:hint="eastAsia" w:ascii="仿宋_GB2312" w:hAnsi="仿宋_GB2312" w:eastAsia="仿宋_GB2312" w:cs="仿宋_GB2312"/>
          <w:color w:val="000000"/>
          <w:sz w:val="32"/>
          <w:szCs w:val="32"/>
        </w:rPr>
        <w:t>充分发挥数据在环境精准治理中的关键作用。拓宽生态环境大数据的来源，应用5G通信+8K超高清视频、量子信息等先进技术，将人口、产能、电力、通信、原料、价格等多源数据对接到生态环境大数据平台。在实现数据共享的基础上，有效利用数据间的矛盾，实现数据间相互验证，以识别异常排污行为。根据企业生产和排污数据的实时监测，以每单位污染物的最低处理成本作为环境影子价格，核算每个企业生产单位产值的环境成本，以单位环境成本的高低甄别企业环境行为的好坏，实施分类监管，调整监管重点，将更多的环境监管和治理资源应用到同一行业中环境行为最差的企业。利用生态环境大数据建立起企业环保信用评价体系，对企业环境风险作出星级评级，将环保信用评价结果提供给资本市场、银行系统，使之成为投资者的决策依据。</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（三）减污降碳是手段</w:t>
      </w:r>
      <w:r>
        <w:rPr>
          <w:rFonts w:hint="eastAsia" w:ascii="CESI楷体-GB2312" w:hAnsi="CESI楷体-GB2312" w:eastAsia="CESI楷体-GB2312" w:cs="CESI楷体-GB2312"/>
          <w:b/>
          <w:bCs/>
          <w:color w:val="000000"/>
          <w:sz w:val="32"/>
          <w:szCs w:val="32"/>
          <w:lang w:eastAsia="zh-CN"/>
        </w:rPr>
        <w:t>。</w:t>
      </w:r>
      <w:r>
        <w:rPr>
          <w:rFonts w:hint="eastAsia" w:ascii="仿宋_GB2312" w:hAnsi="仿宋_GB2312" w:eastAsia="仿宋_GB2312" w:cs="仿宋_GB2312"/>
          <w:color w:val="000000"/>
          <w:sz w:val="32"/>
          <w:szCs w:val="32"/>
        </w:rPr>
        <w:t>聚焦减污降碳协同增效，强化产业结构调整，推动绿色、低碳、循环发展。加快实施碳排放达峰行动，深化低碳试点示范，推广绿色低碳技术，提高应对气候变化能力，促进经济社会发展全面绿色转型。加快构建集污水、垃圾、固体废物、危险废物、医疗废物处理处置设施和监测监管能力于一体的环境基础设施体系，形成环境基础设施网络全覆盖。开展污水处理厂差别化精准提标，加强污水处理设施长效化运行维护。推动全市危险废物处置能力与产废情况基本匹配，加快完善危险废物收运处置体系。创新绿色金融体系，增加对在建项目和补短板重大项目的金融支持力度，确保环境基础设施项目顺利实施。</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（四）政府服务是保障</w:t>
      </w:r>
      <w:r>
        <w:rPr>
          <w:rFonts w:hint="eastAsia" w:ascii="CESI楷体-GB2312" w:hAnsi="CESI楷体-GB2312" w:eastAsia="CESI楷体-GB2312" w:cs="CESI楷体-GB2312"/>
          <w:b/>
          <w:bCs/>
          <w:color w:val="000000"/>
          <w:sz w:val="32"/>
          <w:szCs w:val="32"/>
          <w:lang w:eastAsia="zh-CN"/>
        </w:rPr>
        <w:t>。</w:t>
      </w:r>
      <w:r>
        <w:rPr>
          <w:rFonts w:hint="eastAsia" w:ascii="仿宋_GB2312" w:hAnsi="仿宋_GB2312" w:eastAsia="仿宋_GB2312" w:cs="仿宋_GB2312"/>
          <w:color w:val="000000"/>
          <w:sz w:val="32"/>
          <w:szCs w:val="32"/>
        </w:rPr>
        <w:t>打造宽严相济的服务型政府。一要做好需求分析，深入企业调研，面对面了解企业需求，建立企业需求定期调研机制，以行业、区域为单位，及时掌握企业需求，集中解决同类企业面临的共性问题，出台综合性政策措施，为企业排忧解难；二要推动政府服务便利和效率提升，优化营商环境，将位于产业链供应链重要节点、容易造成“卡脖子”和存在断链风险的企业纳入政策审批服务绿色通道，一事一议、特事特办，提供差异化精准服务；三要综合运用环境监督执法的正面清单和负面清单，采取差异化的监管措施，对于负面清单企业要加大环境监管力度，对于正面清单企业采用“双随机”的环境监管模式，不定期抽检，降低监管成本和摩擦成本，不断提升政府环境监管效能。</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sz w:val="32"/>
          <w:szCs w:val="32"/>
        </w:rPr>
      </w:pPr>
      <w:r>
        <w:rPr>
          <w:rFonts w:hint="eastAsia" w:ascii="CESI楷体-GB2312" w:hAnsi="CESI楷体-GB2312" w:eastAsia="CESI楷体-GB2312" w:cs="CESI楷体-GB2312"/>
          <w:b/>
          <w:bCs/>
          <w:color w:val="000000"/>
          <w:sz w:val="32"/>
          <w:szCs w:val="32"/>
        </w:rPr>
        <w:t>（五）数字转型是机遇</w:t>
      </w:r>
      <w:r>
        <w:rPr>
          <w:rFonts w:hint="eastAsia" w:ascii="CESI楷体-GB2312" w:hAnsi="CESI楷体-GB2312" w:eastAsia="CESI楷体-GB2312" w:cs="CESI楷体-GB2312"/>
          <w:b/>
          <w:bCs/>
          <w:color w:val="000000"/>
          <w:sz w:val="32"/>
          <w:szCs w:val="32"/>
          <w:lang w:eastAsia="zh-CN"/>
        </w:rPr>
        <w:t>。</w:t>
      </w:r>
      <w:r>
        <w:rPr>
          <w:rFonts w:hint="eastAsia" w:ascii="仿宋_GB2312" w:hAnsi="仿宋_GB2312" w:eastAsia="仿宋_GB2312" w:cs="仿宋_GB2312"/>
          <w:color w:val="000000"/>
          <w:sz w:val="32"/>
          <w:szCs w:val="32"/>
        </w:rPr>
        <w:t>推动传统产业数字化转型。一方面从数字经济入手，利用其低搜索成本、低复制成本、低运输成本以及低识别成本等先天优势，缓解企业创新系统中研发要素供需矛盾和新产品供需矛盾，为企业技术创新提供良好的外部条件，助力企业提高要素利用率、改良生产工艺，改进企业污染处理技术，提升绿色全要素生产率；另一方面，借助数字型低碳技术、能源及环保技术，引导企业采用清洁生产工艺，运用高端存储能源和污染处理遥感设备等手段，以产业数字化升级改造为契机，从根本上提高产业生产效率和治污效率，实现减污降碳协同增效，促进经济高质量发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黑体_GBK" w:hAnsi="方正黑体_GBK" w:eastAsia="方正黑体_GBK" w:cs="方正黑体_GBK"/>
          <w:color w:val="000000"/>
          <w:sz w:val="32"/>
          <w:szCs w:val="32"/>
        </w:rPr>
      </w:pPr>
      <w:r>
        <w:rPr>
          <w:rFonts w:hint="eastAsia" w:ascii="CESI楷体-GB2312" w:hAnsi="CESI楷体-GB2312" w:eastAsia="CESI楷体-GB2312" w:cs="CESI楷体-GB2312"/>
          <w:b/>
          <w:bCs/>
          <w:color w:val="000000"/>
          <w:sz w:val="32"/>
          <w:szCs w:val="32"/>
        </w:rPr>
        <w:t>（六）要素培育是途径</w:t>
      </w:r>
      <w:r>
        <w:rPr>
          <w:rFonts w:hint="eastAsia" w:ascii="CESI楷体-GB2312" w:hAnsi="CESI楷体-GB2312" w:eastAsia="CESI楷体-GB2312" w:cs="CESI楷体-GB2312"/>
          <w:b/>
          <w:bCs/>
          <w:color w:val="000000"/>
          <w:sz w:val="32"/>
          <w:szCs w:val="32"/>
          <w:lang w:eastAsia="zh-CN"/>
        </w:rPr>
        <w:t>。</w:t>
      </w:r>
      <w:r>
        <w:rPr>
          <w:rFonts w:hint="eastAsia" w:ascii="仿宋_GB2312" w:hAnsi="仿宋_GB2312" w:eastAsia="仿宋_GB2312" w:cs="仿宋_GB2312"/>
          <w:color w:val="000000"/>
          <w:sz w:val="32"/>
          <w:szCs w:val="32"/>
        </w:rPr>
        <w:t>加快新要素、新产业的培育与融合。推动各产业与5G、人工智能、工业互联网、大数据、云计算、区块链等产业的融合，加快形成新业态、新动能、新模式，培育经济高质量发展动能。鼓励开展绿色认证，在房地产、建筑业等供应链特点较为突出的行业中选择代表性企业开展试点，加快推进建立绿色产业链供应链，实现产业绿色发展的产业链供应链联动。培育和规范生态环保产业市场，健全完善绿色发展财税、投融资等支持政策，落实有利于生态环境保护的价格机制和税收优惠政策。</w:t>
      </w:r>
      <w:r>
        <w:rPr>
          <w:rFonts w:hint="eastAsia" w:ascii="CESI楷体-GB2312" w:hAnsi="CESI楷体-GB2312" w:eastAsia="CESI楷体-GB2312" w:cs="CESI楷体-GB2312"/>
          <w:color w:val="000000"/>
          <w:sz w:val="32"/>
          <w:szCs w:val="32"/>
          <w:lang w:val="en-US" w:eastAsia="zh-CN"/>
        </w:rPr>
        <w:t>（转载自国务院发展研究中心网站）</w:t>
      </w:r>
    </w:p>
    <w:p>
      <w:pPr>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【企业直通车】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2"/>
          <w:szCs w:val="32"/>
          <w:lang w:val="en-US" w:eastAsia="zh-CN"/>
        </w:rPr>
      </w:pPr>
      <w:r>
        <w:rPr>
          <w:rFonts w:hint="eastAsia" w:ascii="方正小标宋简体" w:hAnsi="方正小标宋简体" w:eastAsia="方正小标宋简体" w:cs="方正小标宋简体"/>
          <w:color w:val="000000"/>
          <w:sz w:val="44"/>
          <w:szCs w:val="44"/>
          <w:lang w:val="en-US" w:eastAsia="zh-CN"/>
        </w:rPr>
        <w:t>中兴通讯：积极参与全球5G建设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一、公司简介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中兴通讯是全球领先的综合通信信息解决方案提供商，为全球电信运营商、政企客户和消费者提供创新的技术与产品解决方案。公司成立于1985年，在香港和深圳两地上市，业务覆盖160多个国家和地区，服务全球1/4以上人口，致力于实现“让沟通与信任无处不在”的美好愿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二、发展经验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中兴通讯坚持以持续技术创新为客户不断创造价值，在全球设立了11家研发中心，同时进一步强化自主创新力度，保持在5G无线、核心网、承载、接入、芯片等核心领域的研发投入，研发投入连续多年保持在营业收入10%以上。截至2022年底，中兴通讯拥有全球专利申请量8.5万余件，历年全球累计授权专利约4.3万件，累计获得中国专利奖10项金奖。同时，中兴通讯是全球5G技术研究和标准制定的主要参与者和贡献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CESI楷体-GB2312" w:hAnsi="CESI楷体-GB2312" w:eastAsia="CESI楷体-GB2312" w:cs="CESI楷体-GB2312"/>
          <w:b/>
          <w:bCs/>
          <w:color w:val="000000"/>
          <w:sz w:val="32"/>
          <w:szCs w:val="32"/>
          <w:lang w:val="en-US" w:eastAsia="zh-CN"/>
        </w:rPr>
        <w:t>积极推进全球5G商用网络部署。</w:t>
      </w:r>
      <w:r>
        <w:rPr>
          <w:rFonts w:hint="eastAsia" w:ascii="仿宋_GB2312" w:hAnsi="仿宋_GB2312" w:eastAsia="仿宋_GB2312" w:cs="仿宋_GB2312"/>
          <w:color w:val="000000"/>
          <w:sz w:val="32"/>
          <w:szCs w:val="32"/>
          <w:lang w:val="en-US" w:eastAsia="zh-CN"/>
        </w:rPr>
        <w:t>中兴通讯携手高端运营商，在西班牙、奥地利和意大利打造5G示范网络，持续推进5G全球部署。在意大利，中兴通讯助力Wind Tre进行5G NSA网络的大规模部署，全球首家使用2.6G+3.5G双频5G AAU，总共建成1.8万5G站。在奥地利，中兴通讯使用5G全系列产品&amp;4G多频UBR，助力H3A三个月完成了端到端的5G商用网络部署，成为欧洲5G商用先行者。在西班牙，中兴通讯携手法电Orange完成业界首个400M AAU部署应用，将全方面支持FDD NR平滑演进，2/3/4G网络改造超进度目标交付，5G新建已实现6大城市的5G商用。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CESI楷体-GB2312" w:hAnsi="CESI楷体-GB2312" w:eastAsia="CESI楷体-GB2312" w:cs="CESI楷体-GB2312"/>
          <w:b/>
          <w:bCs/>
          <w:color w:val="000000"/>
          <w:sz w:val="32"/>
          <w:szCs w:val="32"/>
          <w:lang w:val="en-US" w:eastAsia="zh-CN"/>
        </w:rPr>
        <w:t>助力德国RIEDEL打造5G极致专网。</w:t>
      </w:r>
      <w:r>
        <w:rPr>
          <w:rFonts w:hint="eastAsia" w:ascii="仿宋_GB2312" w:hAnsi="仿宋_GB2312" w:eastAsia="仿宋_GB2312" w:cs="仿宋_GB2312"/>
          <w:color w:val="000000"/>
          <w:sz w:val="32"/>
          <w:szCs w:val="32"/>
          <w:lang w:val="en-US" w:eastAsia="zh-CN"/>
        </w:rPr>
        <w:t>2021年底，中兴通讯拿下德国RIEDEL 5G专网项目订单，该项目是公司第一个在海外落地的全新园区端到端解决方案项目，可24小时内实现5G SA手机访问internet。中兴5G专网作为面向行业的极致轻量化产品，可广泛运用于矿山、工业、交通、医疗等多个行业专网领域，为客户打造多场景、极致精简融合、超低成本、安全可靠的园区5G专网。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CESI楷体-GB2312" w:hAnsi="CESI楷体-GB2312" w:eastAsia="CESI楷体-GB2312" w:cs="CESI楷体-GB2312"/>
          <w:b/>
          <w:bCs/>
          <w:color w:val="000000"/>
          <w:sz w:val="32"/>
          <w:szCs w:val="32"/>
          <w:lang w:val="en-US" w:eastAsia="zh-CN"/>
        </w:rPr>
        <w:t>助力泰国数字化转型。</w:t>
      </w:r>
      <w:r>
        <w:rPr>
          <w:rFonts w:hint="eastAsia" w:ascii="仿宋_GB2312" w:hAnsi="仿宋_GB2312" w:eastAsia="仿宋_GB2312" w:cs="仿宋_GB2312"/>
          <w:color w:val="000000"/>
          <w:sz w:val="32"/>
          <w:szCs w:val="32"/>
          <w:lang w:val="en-US" w:eastAsia="zh-CN"/>
        </w:rPr>
        <w:t>2022年6月14日，中兴通讯与泰国第一大移动运营商亿旺资讯公司（AIS）在曼谷签署战略合作协议。中兴通讯将支持亿旺资讯升级5G等重要技术，从而提升网络质量，为亿旺资讯客户提供卓越的用户体验。2022年第三季度，中兴通讯与亿旺资讯将推出泰国首个“A-Z中心”（5G创新中心），双方将充分发挥各自优势，共同开展5G在垂直行业领域的研究合作，助力泰国数字化转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此前，AIS与中兴通讯已开展多个5G项目合作。2021年双方联合泰国素罗娜丽科技大学共同打造泰国5G智能示范工厂，赋能5G+工业应用创新。2022年3月，双方携手高通完成全球首个基于sub-6G和高频26GHz毫米波的5G高低频双连接测试（NR-DC）。此次战略合作的签署，标志着AIS和中兴通讯的全面合作进入一个新的高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三、政策建议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CESI楷体-GB2312" w:hAnsi="CESI楷体-GB2312" w:eastAsia="CESI楷体-GB2312" w:cs="CESI楷体-GB2312"/>
          <w:b/>
          <w:bCs/>
          <w:color w:val="000000"/>
          <w:sz w:val="32"/>
          <w:szCs w:val="32"/>
          <w:lang w:val="en-US" w:eastAsia="zh-CN"/>
        </w:rPr>
        <w:t>（一）建议加强海外投资风险预警服务。</w:t>
      </w:r>
      <w:r>
        <w:rPr>
          <w:rFonts w:hint="eastAsia" w:ascii="仿宋_GB2312" w:hAnsi="仿宋_GB2312" w:eastAsia="仿宋_GB2312" w:cs="仿宋_GB2312"/>
          <w:color w:val="000000"/>
          <w:sz w:val="32"/>
          <w:szCs w:val="32"/>
          <w:lang w:val="en-US" w:eastAsia="zh-CN"/>
        </w:rPr>
        <w:t>由相关政府部门或专业机构从政治风险、经济风险、商业环境风险和法律风险等角度，综合分析及评估海外投资环境，并定期更新，搭建海外投资风险综合服务平台。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CESI楷体-GB2312" w:hAnsi="CESI楷体-GB2312" w:eastAsia="CESI楷体-GB2312" w:cs="CESI楷体-GB2312"/>
          <w:b/>
          <w:bCs/>
          <w:color w:val="000000"/>
          <w:sz w:val="32"/>
          <w:szCs w:val="32"/>
          <w:lang w:val="en-US" w:eastAsia="zh-CN"/>
        </w:rPr>
        <w:t>（二）建议进一步完善海外知识产权服务。</w:t>
      </w:r>
      <w:r>
        <w:rPr>
          <w:rFonts w:hint="eastAsia" w:ascii="仿宋_GB2312" w:hAnsi="仿宋_GB2312" w:eastAsia="仿宋_GB2312" w:cs="仿宋_GB2312"/>
          <w:color w:val="000000"/>
          <w:sz w:val="32"/>
          <w:szCs w:val="32"/>
          <w:lang w:val="en-US" w:eastAsia="zh-CN"/>
        </w:rPr>
        <w:t>建立完善海外知识产权信息服务平台，为企业提供信息交互及知识产权风险预警；加大对企业海外维权法律援助及指导；持续加强境外知识产权国际合作，对企业的知识产权应用、维权提供技术及资源支持，推动企业合理应用其知识产权，利用合法、合规、合理手段进行知识产权维权，促进行业和技术创新的良性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CESI楷体-GB2312" w:hAnsi="CESI楷体-GB2312" w:eastAsia="CESI楷体-GB2312" w:cs="CESI楷体-GB2312"/>
          <w:b/>
          <w:bCs/>
          <w:color w:val="000000"/>
          <w:sz w:val="32"/>
          <w:szCs w:val="32"/>
          <w:lang w:val="en-US" w:eastAsia="zh-CN"/>
        </w:rPr>
        <w:t>（三）建议引导企业加强汇率风险管理。</w:t>
      </w:r>
      <w:r>
        <w:rPr>
          <w:rFonts w:hint="eastAsia" w:ascii="仿宋_GB2312" w:hAnsi="仿宋_GB2312" w:eastAsia="仿宋_GB2312" w:cs="仿宋_GB2312"/>
          <w:color w:val="000000"/>
          <w:sz w:val="32"/>
          <w:szCs w:val="32"/>
          <w:lang w:val="en-US" w:eastAsia="zh-CN"/>
        </w:rPr>
        <w:t>在符合世贸组织规则前提下，建议政府部门及相关机构提供更多汇率风险管理方面的培训、咨询等公共服务，通过商务策略引导、结算管理、融资结构设计与外汇衍生品保值等举措，降低汇率风险。</w:t>
      </w:r>
      <w:r>
        <w:rPr>
          <w:rFonts w:hint="eastAsia" w:ascii="CESI楷体-GB2312" w:hAnsi="CESI楷体-GB2312" w:eastAsia="CESI楷体-GB2312" w:cs="CESI楷体-GB2312"/>
          <w:color w:val="000000"/>
          <w:sz w:val="32"/>
          <w:szCs w:val="32"/>
          <w:lang w:val="en-US" w:eastAsia="zh-CN"/>
        </w:rPr>
        <w:t>（根据中兴通讯股份有限公司供稿整理）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rPr>
          <w:rFonts w:hint="eastAsia" w:ascii="仿宋_GB2312" w:hAnsi="仿宋_GB2312" w:eastAsia="仿宋_GB2312" w:cs="仿宋_GB2312"/>
          <w:color w:val="000000"/>
          <w:sz w:val="32"/>
          <w:szCs w:val="32"/>
          <w:lang w:val="en-US" w:eastAsia="zh-CN"/>
        </w:rPr>
      </w:pPr>
    </w:p>
    <w:p>
      <w:pPr>
        <w:pStyle w:val="3"/>
        <w:ind w:left="0" w:leftChars="0" w:firstLine="0" w:firstLineChars="0"/>
        <w:rPr>
          <w:rFonts w:hint="eastAsia"/>
          <w:lang w:val="en-US" w:eastAsia="zh-CN"/>
        </w:rPr>
      </w:pPr>
    </w:p>
    <w:tbl>
      <w:tblPr>
        <w:tblStyle w:val="18"/>
        <w:tblpPr w:leftFromText="180" w:rightFromText="180" w:vertAnchor="text" w:horzAnchor="margin" w:tblpXSpec="center" w:tblpY="374"/>
        <w:tblOverlap w:val="never"/>
        <w:tblW w:w="892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8920" w:type="dxa"/>
            <w:noWrap w:val="0"/>
            <w:vAlign w:val="center"/>
          </w:tcPr>
          <w:p>
            <w:pPr>
              <w:spacing w:line="480" w:lineRule="exact"/>
              <w:ind w:left="560" w:hanging="560" w:hangingChars="200"/>
              <w:contextualSpacing/>
              <w:jc w:val="left"/>
              <w:rPr>
                <w:rFonts w:ascii="仿宋_GB2312" w:hAnsi="宋体" w:eastAsia="仿宋_GB2312"/>
                <w:color w:val="000000"/>
                <w:sz w:val="28"/>
                <w:szCs w:val="28"/>
              </w:rPr>
            </w:pPr>
            <w:r>
              <w:rPr>
                <w:rFonts w:hint="eastAsia" w:ascii="仿宋_GB2312" w:hAnsi="宋体" w:eastAsia="仿宋_GB2312"/>
                <w:color w:val="000000"/>
                <w:sz w:val="28"/>
                <w:szCs w:val="28"/>
              </w:rPr>
              <w:t>报：市领导；中国贸促会领导，广东省贸促会领导。</w:t>
            </w:r>
          </w:p>
          <w:p>
            <w:pPr>
              <w:spacing w:line="480" w:lineRule="exact"/>
              <w:ind w:left="560" w:hanging="560" w:hangingChars="200"/>
              <w:contextualSpacing/>
              <w:jc w:val="left"/>
              <w:rPr>
                <w:rFonts w:ascii="仿宋_GB2312" w:hAnsi="宋体" w:eastAsia="仿宋_GB2312"/>
                <w:color w:val="000000"/>
                <w:sz w:val="28"/>
                <w:szCs w:val="28"/>
              </w:rPr>
            </w:pPr>
            <w:r>
              <w:rPr>
                <w:rFonts w:hint="eastAsia" w:ascii="仿宋_GB2312" w:hAnsi="宋体" w:eastAsia="仿宋_GB2312"/>
                <w:color w:val="000000"/>
                <w:sz w:val="28"/>
                <w:szCs w:val="28"/>
              </w:rPr>
              <w:t>送：市直各有关单位，各区（新区、深汕合作区）；各省市贸促会。</w:t>
            </w:r>
          </w:p>
          <w:p>
            <w:pPr>
              <w:spacing w:line="480" w:lineRule="exact"/>
              <w:contextualSpacing/>
              <w:jc w:val="left"/>
              <w:rPr>
                <w:rFonts w:ascii="仿宋" w:hAnsi="仿宋" w:eastAsia="仿宋" w:cs="仿宋"/>
                <w:color w:val="000000"/>
                <w:sz w:val="28"/>
                <w:szCs w:val="28"/>
              </w:rPr>
            </w:pPr>
            <w:r>
              <w:rPr>
                <w:rFonts w:hint="eastAsia" w:ascii="仿宋_GB2312" w:hAnsi="宋体" w:eastAsia="仿宋_GB2312"/>
                <w:color w:val="000000"/>
                <w:sz w:val="28"/>
                <w:szCs w:val="28"/>
              </w:rPr>
              <w:t>发：市有关商协会、重点企业。</w:t>
            </w:r>
          </w:p>
        </w:tc>
      </w:tr>
    </w:tbl>
    <w:p>
      <w:pPr>
        <w:spacing w:line="480" w:lineRule="exact"/>
        <w:ind w:left="105" w:leftChars="50"/>
        <w:contextualSpacing/>
        <w:jc w:val="left"/>
        <w:rPr>
          <w:rFonts w:ascii="仿宋_GB2312" w:hAnsi="宋体" w:eastAsia="仿宋_GB2312"/>
          <w:color w:val="000000"/>
          <w:sz w:val="28"/>
          <w:szCs w:val="28"/>
        </w:rPr>
      </w:pPr>
      <w:r>
        <w:rPr>
          <w:rFonts w:hint="eastAsia" w:ascii="仿宋_GB2312" w:hAnsi="宋体" w:eastAsia="仿宋_GB2312"/>
          <w:color w:val="000000"/>
          <w:sz w:val="28"/>
          <w:szCs w:val="28"/>
        </w:rPr>
        <w:t>编辑：吴迪、</w:t>
      </w:r>
      <w:r>
        <w:rPr>
          <w:rFonts w:hint="eastAsia" w:ascii="仿宋_GB2312" w:hAnsi="宋体" w:eastAsia="仿宋_GB2312"/>
          <w:color w:val="000000"/>
          <w:sz w:val="28"/>
          <w:szCs w:val="28"/>
          <w:lang w:eastAsia="zh-CN"/>
        </w:rPr>
        <w:t>吴思宇</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lang w:val="en-US" w:eastAsia="zh-CN"/>
        </w:rPr>
        <w:t xml:space="preserve">  校对：张弛、李丹        </w:t>
      </w:r>
      <w:r>
        <w:rPr>
          <w:rFonts w:hint="eastAsia" w:ascii="仿宋_GB2312" w:hAnsi="宋体" w:eastAsia="仿宋_GB2312"/>
          <w:color w:val="000000"/>
          <w:sz w:val="28"/>
          <w:szCs w:val="28"/>
        </w:rPr>
        <w:t>审核：杨宏宇</w:t>
      </w:r>
    </w:p>
    <w:p>
      <w:pPr>
        <w:spacing w:line="480" w:lineRule="exact"/>
        <w:ind w:left="105" w:leftChars="50"/>
        <w:contextualSpacing/>
        <w:jc w:val="left"/>
        <w:rPr>
          <w:color w:val="000000"/>
        </w:rPr>
      </w:pPr>
      <w:r>
        <w:rPr>
          <w:rFonts w:hint="eastAsia" w:ascii="仿宋_GB2312" w:hAnsi="宋体" w:eastAsia="仿宋_GB2312"/>
          <w:color w:val="000000"/>
          <w:sz w:val="28"/>
          <w:szCs w:val="28"/>
        </w:rPr>
        <w:t>电话：</w:t>
      </w:r>
      <w:r>
        <w:rPr>
          <w:rFonts w:ascii="仿宋_GB2312" w:hAnsi="宋体" w:eastAsia="仿宋_GB2312"/>
          <w:color w:val="000000"/>
          <w:sz w:val="28"/>
          <w:szCs w:val="28"/>
        </w:rPr>
        <w:t>0755-33358492</w:t>
      </w:r>
    </w:p>
    <w:sectPr>
      <w:footerReference r:id="rId6" w:type="default"/>
      <w:footerReference r:id="rId7" w:type="even"/>
      <w:endnotePr>
        <w:numFmt w:val="decimal"/>
      </w:endnotePr>
      <w:pgSz w:w="11906" w:h="16838"/>
      <w:pgMar w:top="1417" w:right="1503" w:bottom="1304" w:left="1503" w:header="720" w:footer="850"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DFKai-SB">
    <w:panose1 w:val="03000509000000000000"/>
    <w:charset w:val="88"/>
    <w:family w:val="script"/>
    <w:pitch w:val="default"/>
    <w:sig w:usb0="00000003" w:usb1="082E0000" w:usb2="00000016" w:usb3="00000000" w:csb0="0010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0"/>
  <w:hyphenationZone w:val="360"/>
  <w:evenAndOddHeaders w:val="1"/>
  <w:drawingGridHorizontalSpacing w:val="210"/>
  <w:drawingGridVerticalSpacing w:val="156"/>
  <w:displayHorizontalDrawingGridEvery w:val="1"/>
  <w:displayVerticalDrawingGridEvery w:val="1"/>
  <w:noPunctuationKerning w:val="1"/>
  <w:characterSpacingControl w:val="doNotCompress"/>
  <w:endnotePr>
    <w:numFmt w:val="decimal"/>
  </w:endnotePr>
  <w:compat>
    <w:doNotLeaveBackslashAlon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YWViZTRkMjk2Mzk5NDAxYmI0N2I4YmYyYjU0MDQifQ=="/>
    <w:docVar w:name="KGWebUrl" w:val="http://csfile.szoa.sz.gov.cn//file/download?md5Path=77165cf282f19a0745fcf0320c31be00@78925&amp;webOffice=1&amp;identityId=97F0F4691A66A4CCD34543C052901248&amp;token=2bf7a40e165c465eaa55a6f64ee87aaf&amp;identityId=97F0F4691A66A4CCD34543C052901248&amp;wjbh=B202102327&amp;hddyid=LCA010001_HD_01&amp;fileSrcName=2021_09_26_14_43_51_677407DF3A98868660AEC34995555BE5.docx"/>
  </w:docVars>
  <w:rsids>
    <w:rsidRoot w:val="00103FA4"/>
    <w:rsid w:val="0000128E"/>
    <w:rsid w:val="00001471"/>
    <w:rsid w:val="00001C5C"/>
    <w:rsid w:val="000020F6"/>
    <w:rsid w:val="00002D91"/>
    <w:rsid w:val="00003D0C"/>
    <w:rsid w:val="00003D65"/>
    <w:rsid w:val="00004B6E"/>
    <w:rsid w:val="00005695"/>
    <w:rsid w:val="000057AA"/>
    <w:rsid w:val="000058E5"/>
    <w:rsid w:val="00006669"/>
    <w:rsid w:val="00007200"/>
    <w:rsid w:val="000073BA"/>
    <w:rsid w:val="00007F00"/>
    <w:rsid w:val="00010241"/>
    <w:rsid w:val="00010505"/>
    <w:rsid w:val="0001082B"/>
    <w:rsid w:val="00010A1A"/>
    <w:rsid w:val="000119F1"/>
    <w:rsid w:val="00011AEB"/>
    <w:rsid w:val="00012FEF"/>
    <w:rsid w:val="00013573"/>
    <w:rsid w:val="000135F7"/>
    <w:rsid w:val="0001365C"/>
    <w:rsid w:val="0001387D"/>
    <w:rsid w:val="000138AE"/>
    <w:rsid w:val="00014E10"/>
    <w:rsid w:val="00015402"/>
    <w:rsid w:val="0001557A"/>
    <w:rsid w:val="000155E1"/>
    <w:rsid w:val="00016281"/>
    <w:rsid w:val="00016287"/>
    <w:rsid w:val="00016B4B"/>
    <w:rsid w:val="00017BD1"/>
    <w:rsid w:val="000205A7"/>
    <w:rsid w:val="0002094A"/>
    <w:rsid w:val="00020EA4"/>
    <w:rsid w:val="00020F9F"/>
    <w:rsid w:val="000213E8"/>
    <w:rsid w:val="000218CB"/>
    <w:rsid w:val="00022913"/>
    <w:rsid w:val="00022E34"/>
    <w:rsid w:val="00023EDD"/>
    <w:rsid w:val="000248F2"/>
    <w:rsid w:val="00024AE3"/>
    <w:rsid w:val="00024F77"/>
    <w:rsid w:val="0002536A"/>
    <w:rsid w:val="000253ED"/>
    <w:rsid w:val="0002629B"/>
    <w:rsid w:val="0002788E"/>
    <w:rsid w:val="0003096D"/>
    <w:rsid w:val="00030A68"/>
    <w:rsid w:val="000313A3"/>
    <w:rsid w:val="0003155C"/>
    <w:rsid w:val="00032336"/>
    <w:rsid w:val="000326F5"/>
    <w:rsid w:val="000329CE"/>
    <w:rsid w:val="00032E0C"/>
    <w:rsid w:val="00032EA5"/>
    <w:rsid w:val="00032EE9"/>
    <w:rsid w:val="00033F40"/>
    <w:rsid w:val="0003427A"/>
    <w:rsid w:val="000346DB"/>
    <w:rsid w:val="00034C1E"/>
    <w:rsid w:val="0003536D"/>
    <w:rsid w:val="00035607"/>
    <w:rsid w:val="0003593D"/>
    <w:rsid w:val="00036420"/>
    <w:rsid w:val="00036B93"/>
    <w:rsid w:val="000372D6"/>
    <w:rsid w:val="00037A98"/>
    <w:rsid w:val="00037FE0"/>
    <w:rsid w:val="00040007"/>
    <w:rsid w:val="00040A6B"/>
    <w:rsid w:val="00040AAD"/>
    <w:rsid w:val="00040C1C"/>
    <w:rsid w:val="00041419"/>
    <w:rsid w:val="0004238F"/>
    <w:rsid w:val="00042574"/>
    <w:rsid w:val="00042D70"/>
    <w:rsid w:val="00042FA9"/>
    <w:rsid w:val="00043772"/>
    <w:rsid w:val="00043999"/>
    <w:rsid w:val="000443FF"/>
    <w:rsid w:val="000447BE"/>
    <w:rsid w:val="000459FD"/>
    <w:rsid w:val="00045C45"/>
    <w:rsid w:val="00045D9F"/>
    <w:rsid w:val="0004667F"/>
    <w:rsid w:val="00046D51"/>
    <w:rsid w:val="000471BA"/>
    <w:rsid w:val="00047E1D"/>
    <w:rsid w:val="00050E0A"/>
    <w:rsid w:val="00050F1A"/>
    <w:rsid w:val="00050F23"/>
    <w:rsid w:val="00051A4A"/>
    <w:rsid w:val="00051A88"/>
    <w:rsid w:val="00051C16"/>
    <w:rsid w:val="00052268"/>
    <w:rsid w:val="0005252E"/>
    <w:rsid w:val="00052F92"/>
    <w:rsid w:val="00053374"/>
    <w:rsid w:val="000534CE"/>
    <w:rsid w:val="00054308"/>
    <w:rsid w:val="000547B0"/>
    <w:rsid w:val="00055811"/>
    <w:rsid w:val="00056330"/>
    <w:rsid w:val="000566C5"/>
    <w:rsid w:val="00057972"/>
    <w:rsid w:val="00057A79"/>
    <w:rsid w:val="000607A0"/>
    <w:rsid w:val="000608E4"/>
    <w:rsid w:val="00060AB4"/>
    <w:rsid w:val="0006105C"/>
    <w:rsid w:val="00062146"/>
    <w:rsid w:val="000621D6"/>
    <w:rsid w:val="00062C32"/>
    <w:rsid w:val="00063DD2"/>
    <w:rsid w:val="00064BA9"/>
    <w:rsid w:val="00064F24"/>
    <w:rsid w:val="00065539"/>
    <w:rsid w:val="00065677"/>
    <w:rsid w:val="000656F3"/>
    <w:rsid w:val="000670C4"/>
    <w:rsid w:val="0006719E"/>
    <w:rsid w:val="000672BC"/>
    <w:rsid w:val="00067A41"/>
    <w:rsid w:val="00067DB6"/>
    <w:rsid w:val="00070395"/>
    <w:rsid w:val="0007086E"/>
    <w:rsid w:val="00070C9D"/>
    <w:rsid w:val="00071380"/>
    <w:rsid w:val="0007143C"/>
    <w:rsid w:val="00071496"/>
    <w:rsid w:val="000716E1"/>
    <w:rsid w:val="00071DD0"/>
    <w:rsid w:val="00072168"/>
    <w:rsid w:val="000721A8"/>
    <w:rsid w:val="000733F0"/>
    <w:rsid w:val="00073A9C"/>
    <w:rsid w:val="000750F2"/>
    <w:rsid w:val="00075907"/>
    <w:rsid w:val="00076138"/>
    <w:rsid w:val="00076300"/>
    <w:rsid w:val="00076EA0"/>
    <w:rsid w:val="00077A2A"/>
    <w:rsid w:val="00077BD2"/>
    <w:rsid w:val="00080183"/>
    <w:rsid w:val="0008047C"/>
    <w:rsid w:val="000813FF"/>
    <w:rsid w:val="00082943"/>
    <w:rsid w:val="00082C9C"/>
    <w:rsid w:val="00082D22"/>
    <w:rsid w:val="000834DF"/>
    <w:rsid w:val="0008361B"/>
    <w:rsid w:val="0008362E"/>
    <w:rsid w:val="00083ACC"/>
    <w:rsid w:val="0008432E"/>
    <w:rsid w:val="0008438F"/>
    <w:rsid w:val="00084683"/>
    <w:rsid w:val="00084C91"/>
    <w:rsid w:val="00084D08"/>
    <w:rsid w:val="00085D28"/>
    <w:rsid w:val="00086DF6"/>
    <w:rsid w:val="00087065"/>
    <w:rsid w:val="00087720"/>
    <w:rsid w:val="00090374"/>
    <w:rsid w:val="000912B8"/>
    <w:rsid w:val="000918FC"/>
    <w:rsid w:val="00091D19"/>
    <w:rsid w:val="00092320"/>
    <w:rsid w:val="000929FA"/>
    <w:rsid w:val="00093FDF"/>
    <w:rsid w:val="00094316"/>
    <w:rsid w:val="00094BD5"/>
    <w:rsid w:val="00094EA4"/>
    <w:rsid w:val="00094F62"/>
    <w:rsid w:val="00095274"/>
    <w:rsid w:val="00095425"/>
    <w:rsid w:val="00095580"/>
    <w:rsid w:val="000958D6"/>
    <w:rsid w:val="00095E8E"/>
    <w:rsid w:val="000960C2"/>
    <w:rsid w:val="000965B9"/>
    <w:rsid w:val="00096852"/>
    <w:rsid w:val="00096AA0"/>
    <w:rsid w:val="00096EEC"/>
    <w:rsid w:val="0009715A"/>
    <w:rsid w:val="000A135F"/>
    <w:rsid w:val="000A141E"/>
    <w:rsid w:val="000A17B5"/>
    <w:rsid w:val="000A1A75"/>
    <w:rsid w:val="000A1DB3"/>
    <w:rsid w:val="000A23B6"/>
    <w:rsid w:val="000A260C"/>
    <w:rsid w:val="000A2EF9"/>
    <w:rsid w:val="000A36E2"/>
    <w:rsid w:val="000A3988"/>
    <w:rsid w:val="000A3BCD"/>
    <w:rsid w:val="000A3FDD"/>
    <w:rsid w:val="000A4DBB"/>
    <w:rsid w:val="000A50D7"/>
    <w:rsid w:val="000A51AC"/>
    <w:rsid w:val="000A5275"/>
    <w:rsid w:val="000A5AEA"/>
    <w:rsid w:val="000A5F78"/>
    <w:rsid w:val="000A602C"/>
    <w:rsid w:val="000A68A6"/>
    <w:rsid w:val="000A6A44"/>
    <w:rsid w:val="000A717C"/>
    <w:rsid w:val="000A734F"/>
    <w:rsid w:val="000A7B91"/>
    <w:rsid w:val="000A7BA5"/>
    <w:rsid w:val="000B0122"/>
    <w:rsid w:val="000B03EA"/>
    <w:rsid w:val="000B0958"/>
    <w:rsid w:val="000B0A3C"/>
    <w:rsid w:val="000B1160"/>
    <w:rsid w:val="000B139D"/>
    <w:rsid w:val="000B175D"/>
    <w:rsid w:val="000B1C28"/>
    <w:rsid w:val="000B1D28"/>
    <w:rsid w:val="000B1D93"/>
    <w:rsid w:val="000B1DA6"/>
    <w:rsid w:val="000B2309"/>
    <w:rsid w:val="000B2E52"/>
    <w:rsid w:val="000B2E96"/>
    <w:rsid w:val="000B33A5"/>
    <w:rsid w:val="000B3477"/>
    <w:rsid w:val="000B38C3"/>
    <w:rsid w:val="000B3EB5"/>
    <w:rsid w:val="000B4308"/>
    <w:rsid w:val="000B5382"/>
    <w:rsid w:val="000B583D"/>
    <w:rsid w:val="000B5D11"/>
    <w:rsid w:val="000B6A30"/>
    <w:rsid w:val="000B6AB3"/>
    <w:rsid w:val="000B7FF1"/>
    <w:rsid w:val="000C09D3"/>
    <w:rsid w:val="000C0BA3"/>
    <w:rsid w:val="000C14D0"/>
    <w:rsid w:val="000C16A6"/>
    <w:rsid w:val="000C23A2"/>
    <w:rsid w:val="000C2E15"/>
    <w:rsid w:val="000C3B71"/>
    <w:rsid w:val="000C4089"/>
    <w:rsid w:val="000C4BBC"/>
    <w:rsid w:val="000C4DA5"/>
    <w:rsid w:val="000C4F0D"/>
    <w:rsid w:val="000C5FBD"/>
    <w:rsid w:val="000C6659"/>
    <w:rsid w:val="000C68A8"/>
    <w:rsid w:val="000C69E5"/>
    <w:rsid w:val="000C6E93"/>
    <w:rsid w:val="000C71EF"/>
    <w:rsid w:val="000C7455"/>
    <w:rsid w:val="000D0DAD"/>
    <w:rsid w:val="000D10C4"/>
    <w:rsid w:val="000D12A4"/>
    <w:rsid w:val="000D1D6B"/>
    <w:rsid w:val="000D1F79"/>
    <w:rsid w:val="000D245D"/>
    <w:rsid w:val="000D2DAF"/>
    <w:rsid w:val="000D32A0"/>
    <w:rsid w:val="000D3658"/>
    <w:rsid w:val="000D470A"/>
    <w:rsid w:val="000D4C0A"/>
    <w:rsid w:val="000D4F7E"/>
    <w:rsid w:val="000D4FB3"/>
    <w:rsid w:val="000D50A9"/>
    <w:rsid w:val="000D51D1"/>
    <w:rsid w:val="000D68D0"/>
    <w:rsid w:val="000D6FBB"/>
    <w:rsid w:val="000D7040"/>
    <w:rsid w:val="000E01AA"/>
    <w:rsid w:val="000E0E8B"/>
    <w:rsid w:val="000E1157"/>
    <w:rsid w:val="000E174B"/>
    <w:rsid w:val="000E2FE1"/>
    <w:rsid w:val="000E318A"/>
    <w:rsid w:val="000E353A"/>
    <w:rsid w:val="000E3809"/>
    <w:rsid w:val="000E3B03"/>
    <w:rsid w:val="000E46BC"/>
    <w:rsid w:val="000E4CF2"/>
    <w:rsid w:val="000E4EC1"/>
    <w:rsid w:val="000E5019"/>
    <w:rsid w:val="000E54CD"/>
    <w:rsid w:val="000E6334"/>
    <w:rsid w:val="000E6685"/>
    <w:rsid w:val="000E6746"/>
    <w:rsid w:val="000E67E5"/>
    <w:rsid w:val="000E6BCC"/>
    <w:rsid w:val="000E6D47"/>
    <w:rsid w:val="000E6F27"/>
    <w:rsid w:val="000E7B89"/>
    <w:rsid w:val="000E7CED"/>
    <w:rsid w:val="000E7DFB"/>
    <w:rsid w:val="000F0CCB"/>
    <w:rsid w:val="000F0D34"/>
    <w:rsid w:val="000F1628"/>
    <w:rsid w:val="000F2038"/>
    <w:rsid w:val="000F2C66"/>
    <w:rsid w:val="000F3715"/>
    <w:rsid w:val="000F470F"/>
    <w:rsid w:val="000F4B30"/>
    <w:rsid w:val="000F4B57"/>
    <w:rsid w:val="000F4BC1"/>
    <w:rsid w:val="000F4ECF"/>
    <w:rsid w:val="000F501E"/>
    <w:rsid w:val="000F5B1F"/>
    <w:rsid w:val="000F60BC"/>
    <w:rsid w:val="000F655C"/>
    <w:rsid w:val="000F6654"/>
    <w:rsid w:val="000F6CEE"/>
    <w:rsid w:val="000F6D10"/>
    <w:rsid w:val="000F6F1B"/>
    <w:rsid w:val="000F7731"/>
    <w:rsid w:val="000F7EDB"/>
    <w:rsid w:val="001004D9"/>
    <w:rsid w:val="00100E4D"/>
    <w:rsid w:val="00100FBD"/>
    <w:rsid w:val="001017E9"/>
    <w:rsid w:val="00102347"/>
    <w:rsid w:val="00102353"/>
    <w:rsid w:val="001029B3"/>
    <w:rsid w:val="00103FA4"/>
    <w:rsid w:val="0010456E"/>
    <w:rsid w:val="0010465B"/>
    <w:rsid w:val="00105061"/>
    <w:rsid w:val="00105D02"/>
    <w:rsid w:val="00105E9C"/>
    <w:rsid w:val="001065D9"/>
    <w:rsid w:val="00106A2A"/>
    <w:rsid w:val="00107058"/>
    <w:rsid w:val="001075B6"/>
    <w:rsid w:val="00107F6F"/>
    <w:rsid w:val="00110386"/>
    <w:rsid w:val="0011088A"/>
    <w:rsid w:val="00110BA9"/>
    <w:rsid w:val="0011107A"/>
    <w:rsid w:val="001111F4"/>
    <w:rsid w:val="0011177F"/>
    <w:rsid w:val="001118A1"/>
    <w:rsid w:val="0011295A"/>
    <w:rsid w:val="00112AB4"/>
    <w:rsid w:val="0011322E"/>
    <w:rsid w:val="00113538"/>
    <w:rsid w:val="00113685"/>
    <w:rsid w:val="00113D9B"/>
    <w:rsid w:val="00113F37"/>
    <w:rsid w:val="001144B1"/>
    <w:rsid w:val="001147AE"/>
    <w:rsid w:val="00115ADB"/>
    <w:rsid w:val="00115EB5"/>
    <w:rsid w:val="0011678C"/>
    <w:rsid w:val="0011687D"/>
    <w:rsid w:val="001168B8"/>
    <w:rsid w:val="00117465"/>
    <w:rsid w:val="00117719"/>
    <w:rsid w:val="00117E99"/>
    <w:rsid w:val="00117F48"/>
    <w:rsid w:val="001215F3"/>
    <w:rsid w:val="00122617"/>
    <w:rsid w:val="001236DF"/>
    <w:rsid w:val="00123708"/>
    <w:rsid w:val="00123729"/>
    <w:rsid w:val="00123CD0"/>
    <w:rsid w:val="00123F67"/>
    <w:rsid w:val="00124716"/>
    <w:rsid w:val="00124CF1"/>
    <w:rsid w:val="00124DFD"/>
    <w:rsid w:val="00125897"/>
    <w:rsid w:val="0012611D"/>
    <w:rsid w:val="0012656C"/>
    <w:rsid w:val="00126BEA"/>
    <w:rsid w:val="00126D1B"/>
    <w:rsid w:val="001277D6"/>
    <w:rsid w:val="00127CD9"/>
    <w:rsid w:val="00127FE7"/>
    <w:rsid w:val="0013012D"/>
    <w:rsid w:val="00130313"/>
    <w:rsid w:val="001310C9"/>
    <w:rsid w:val="001318EF"/>
    <w:rsid w:val="0013204F"/>
    <w:rsid w:val="00132102"/>
    <w:rsid w:val="0013260E"/>
    <w:rsid w:val="001327DD"/>
    <w:rsid w:val="00132862"/>
    <w:rsid w:val="001330D8"/>
    <w:rsid w:val="00133351"/>
    <w:rsid w:val="001337CF"/>
    <w:rsid w:val="001342D0"/>
    <w:rsid w:val="001343CE"/>
    <w:rsid w:val="0013489B"/>
    <w:rsid w:val="00135FE9"/>
    <w:rsid w:val="0013688B"/>
    <w:rsid w:val="00136BD4"/>
    <w:rsid w:val="00136CA4"/>
    <w:rsid w:val="001373B3"/>
    <w:rsid w:val="0013765F"/>
    <w:rsid w:val="00137A29"/>
    <w:rsid w:val="00137AED"/>
    <w:rsid w:val="00137CFE"/>
    <w:rsid w:val="00137D97"/>
    <w:rsid w:val="00140348"/>
    <w:rsid w:val="0014060C"/>
    <w:rsid w:val="00140B88"/>
    <w:rsid w:val="00140CBE"/>
    <w:rsid w:val="0014135C"/>
    <w:rsid w:val="00141BCD"/>
    <w:rsid w:val="001429FF"/>
    <w:rsid w:val="00142F0D"/>
    <w:rsid w:val="00143453"/>
    <w:rsid w:val="00143BD5"/>
    <w:rsid w:val="0014485A"/>
    <w:rsid w:val="001455AC"/>
    <w:rsid w:val="00146281"/>
    <w:rsid w:val="001464B3"/>
    <w:rsid w:val="0014652C"/>
    <w:rsid w:val="001466C7"/>
    <w:rsid w:val="00146A5A"/>
    <w:rsid w:val="00146F04"/>
    <w:rsid w:val="00147532"/>
    <w:rsid w:val="0014758E"/>
    <w:rsid w:val="00150AF2"/>
    <w:rsid w:val="00150D86"/>
    <w:rsid w:val="00151B3E"/>
    <w:rsid w:val="001520BD"/>
    <w:rsid w:val="00152C48"/>
    <w:rsid w:val="00153165"/>
    <w:rsid w:val="001539A3"/>
    <w:rsid w:val="001539B8"/>
    <w:rsid w:val="00154288"/>
    <w:rsid w:val="001542D7"/>
    <w:rsid w:val="00154642"/>
    <w:rsid w:val="0015487D"/>
    <w:rsid w:val="00154FF5"/>
    <w:rsid w:val="001601DF"/>
    <w:rsid w:val="00161819"/>
    <w:rsid w:val="00162261"/>
    <w:rsid w:val="00162371"/>
    <w:rsid w:val="00163945"/>
    <w:rsid w:val="00163C79"/>
    <w:rsid w:val="00163FA7"/>
    <w:rsid w:val="001644C6"/>
    <w:rsid w:val="00164582"/>
    <w:rsid w:val="001649E3"/>
    <w:rsid w:val="00164D89"/>
    <w:rsid w:val="001663EA"/>
    <w:rsid w:val="001668D4"/>
    <w:rsid w:val="00166E6A"/>
    <w:rsid w:val="001672C6"/>
    <w:rsid w:val="001677CF"/>
    <w:rsid w:val="001702D1"/>
    <w:rsid w:val="00170E74"/>
    <w:rsid w:val="00171248"/>
    <w:rsid w:val="00171446"/>
    <w:rsid w:val="00171471"/>
    <w:rsid w:val="00171B5A"/>
    <w:rsid w:val="00171B7C"/>
    <w:rsid w:val="0017254C"/>
    <w:rsid w:val="0017345C"/>
    <w:rsid w:val="0017526C"/>
    <w:rsid w:val="00175AA7"/>
    <w:rsid w:val="00175C65"/>
    <w:rsid w:val="0017626C"/>
    <w:rsid w:val="001769A1"/>
    <w:rsid w:val="00176C20"/>
    <w:rsid w:val="001770D0"/>
    <w:rsid w:val="00177191"/>
    <w:rsid w:val="0018048C"/>
    <w:rsid w:val="00180800"/>
    <w:rsid w:val="00180E09"/>
    <w:rsid w:val="00181441"/>
    <w:rsid w:val="0018191C"/>
    <w:rsid w:val="00181CCD"/>
    <w:rsid w:val="00181FF6"/>
    <w:rsid w:val="001821B7"/>
    <w:rsid w:val="001824B2"/>
    <w:rsid w:val="00182EB6"/>
    <w:rsid w:val="00182F2A"/>
    <w:rsid w:val="00182F2F"/>
    <w:rsid w:val="00182FD0"/>
    <w:rsid w:val="00183361"/>
    <w:rsid w:val="00184FBE"/>
    <w:rsid w:val="001850D7"/>
    <w:rsid w:val="001851E1"/>
    <w:rsid w:val="00187D31"/>
    <w:rsid w:val="0019009F"/>
    <w:rsid w:val="001903E3"/>
    <w:rsid w:val="001910E9"/>
    <w:rsid w:val="001911DE"/>
    <w:rsid w:val="00191594"/>
    <w:rsid w:val="00191DC8"/>
    <w:rsid w:val="00192353"/>
    <w:rsid w:val="00192921"/>
    <w:rsid w:val="00192EFA"/>
    <w:rsid w:val="00193439"/>
    <w:rsid w:val="00194286"/>
    <w:rsid w:val="00194518"/>
    <w:rsid w:val="00194925"/>
    <w:rsid w:val="001952CC"/>
    <w:rsid w:val="0019575E"/>
    <w:rsid w:val="00196C47"/>
    <w:rsid w:val="00197AB8"/>
    <w:rsid w:val="001A01FC"/>
    <w:rsid w:val="001A06D9"/>
    <w:rsid w:val="001A0762"/>
    <w:rsid w:val="001A0ADA"/>
    <w:rsid w:val="001A0BB5"/>
    <w:rsid w:val="001A1138"/>
    <w:rsid w:val="001A1586"/>
    <w:rsid w:val="001A1AF8"/>
    <w:rsid w:val="001A1D7F"/>
    <w:rsid w:val="001A1E07"/>
    <w:rsid w:val="001A1EB1"/>
    <w:rsid w:val="001A28BB"/>
    <w:rsid w:val="001A2A79"/>
    <w:rsid w:val="001A2F94"/>
    <w:rsid w:val="001A3A12"/>
    <w:rsid w:val="001A3F70"/>
    <w:rsid w:val="001A3F85"/>
    <w:rsid w:val="001A427C"/>
    <w:rsid w:val="001A5DDE"/>
    <w:rsid w:val="001A6015"/>
    <w:rsid w:val="001A69A5"/>
    <w:rsid w:val="001A6E69"/>
    <w:rsid w:val="001A706E"/>
    <w:rsid w:val="001B028C"/>
    <w:rsid w:val="001B0C65"/>
    <w:rsid w:val="001B1140"/>
    <w:rsid w:val="001B118C"/>
    <w:rsid w:val="001B19BA"/>
    <w:rsid w:val="001B1CEF"/>
    <w:rsid w:val="001B2A50"/>
    <w:rsid w:val="001B2EBD"/>
    <w:rsid w:val="001B30B6"/>
    <w:rsid w:val="001B3451"/>
    <w:rsid w:val="001B3A98"/>
    <w:rsid w:val="001B3F99"/>
    <w:rsid w:val="001B46FB"/>
    <w:rsid w:val="001B4CA2"/>
    <w:rsid w:val="001B4D21"/>
    <w:rsid w:val="001B559B"/>
    <w:rsid w:val="001B5986"/>
    <w:rsid w:val="001B5F38"/>
    <w:rsid w:val="001B6C33"/>
    <w:rsid w:val="001B76FB"/>
    <w:rsid w:val="001B7D7D"/>
    <w:rsid w:val="001C0032"/>
    <w:rsid w:val="001C01FE"/>
    <w:rsid w:val="001C13A5"/>
    <w:rsid w:val="001C185C"/>
    <w:rsid w:val="001C22B3"/>
    <w:rsid w:val="001C3113"/>
    <w:rsid w:val="001C3401"/>
    <w:rsid w:val="001C3ADA"/>
    <w:rsid w:val="001C3FA8"/>
    <w:rsid w:val="001C43E3"/>
    <w:rsid w:val="001C473A"/>
    <w:rsid w:val="001C4827"/>
    <w:rsid w:val="001C482A"/>
    <w:rsid w:val="001C4BAD"/>
    <w:rsid w:val="001C4CF3"/>
    <w:rsid w:val="001C50A9"/>
    <w:rsid w:val="001C5309"/>
    <w:rsid w:val="001C5325"/>
    <w:rsid w:val="001C6096"/>
    <w:rsid w:val="001C6475"/>
    <w:rsid w:val="001C67DF"/>
    <w:rsid w:val="001C6B67"/>
    <w:rsid w:val="001C6D00"/>
    <w:rsid w:val="001C746A"/>
    <w:rsid w:val="001C7F2A"/>
    <w:rsid w:val="001C7FA1"/>
    <w:rsid w:val="001C7FFA"/>
    <w:rsid w:val="001D05ED"/>
    <w:rsid w:val="001D10FB"/>
    <w:rsid w:val="001D18E9"/>
    <w:rsid w:val="001D1EFA"/>
    <w:rsid w:val="001D1FBE"/>
    <w:rsid w:val="001D2158"/>
    <w:rsid w:val="001D229E"/>
    <w:rsid w:val="001D2308"/>
    <w:rsid w:val="001D2EA3"/>
    <w:rsid w:val="001D31DD"/>
    <w:rsid w:val="001D3219"/>
    <w:rsid w:val="001D3766"/>
    <w:rsid w:val="001D3A1B"/>
    <w:rsid w:val="001D3A9A"/>
    <w:rsid w:val="001D45E4"/>
    <w:rsid w:val="001D48CB"/>
    <w:rsid w:val="001D4C3C"/>
    <w:rsid w:val="001D4DFC"/>
    <w:rsid w:val="001D5A32"/>
    <w:rsid w:val="001D6143"/>
    <w:rsid w:val="001D630F"/>
    <w:rsid w:val="001D64C7"/>
    <w:rsid w:val="001D6A6E"/>
    <w:rsid w:val="001D7096"/>
    <w:rsid w:val="001D7887"/>
    <w:rsid w:val="001D7E7E"/>
    <w:rsid w:val="001E0266"/>
    <w:rsid w:val="001E026D"/>
    <w:rsid w:val="001E0859"/>
    <w:rsid w:val="001E0955"/>
    <w:rsid w:val="001E1407"/>
    <w:rsid w:val="001E1C22"/>
    <w:rsid w:val="001E2475"/>
    <w:rsid w:val="001E2CB0"/>
    <w:rsid w:val="001E2D41"/>
    <w:rsid w:val="001E2DB9"/>
    <w:rsid w:val="001E30BF"/>
    <w:rsid w:val="001E3136"/>
    <w:rsid w:val="001E390B"/>
    <w:rsid w:val="001E3A55"/>
    <w:rsid w:val="001E3D91"/>
    <w:rsid w:val="001E48B9"/>
    <w:rsid w:val="001E4A59"/>
    <w:rsid w:val="001E4EFC"/>
    <w:rsid w:val="001E530E"/>
    <w:rsid w:val="001E62FE"/>
    <w:rsid w:val="001E648B"/>
    <w:rsid w:val="001E6597"/>
    <w:rsid w:val="001E6798"/>
    <w:rsid w:val="001E690B"/>
    <w:rsid w:val="001E6FA5"/>
    <w:rsid w:val="001E71D6"/>
    <w:rsid w:val="001E7BA5"/>
    <w:rsid w:val="001F0891"/>
    <w:rsid w:val="001F0B74"/>
    <w:rsid w:val="001F129E"/>
    <w:rsid w:val="001F1484"/>
    <w:rsid w:val="001F157E"/>
    <w:rsid w:val="001F1FC8"/>
    <w:rsid w:val="001F20FB"/>
    <w:rsid w:val="001F2274"/>
    <w:rsid w:val="001F22E1"/>
    <w:rsid w:val="001F26D3"/>
    <w:rsid w:val="001F2934"/>
    <w:rsid w:val="001F2A0C"/>
    <w:rsid w:val="001F2D1B"/>
    <w:rsid w:val="001F30D4"/>
    <w:rsid w:val="001F37C5"/>
    <w:rsid w:val="001F38C1"/>
    <w:rsid w:val="001F3CC5"/>
    <w:rsid w:val="001F3FB7"/>
    <w:rsid w:val="001F4864"/>
    <w:rsid w:val="001F4A39"/>
    <w:rsid w:val="001F4A95"/>
    <w:rsid w:val="001F4BAD"/>
    <w:rsid w:val="001F5610"/>
    <w:rsid w:val="001F580D"/>
    <w:rsid w:val="001F5823"/>
    <w:rsid w:val="001F592A"/>
    <w:rsid w:val="001F5A7F"/>
    <w:rsid w:val="001F643D"/>
    <w:rsid w:val="001F67C8"/>
    <w:rsid w:val="001F6CA9"/>
    <w:rsid w:val="001F6E0D"/>
    <w:rsid w:val="001F74BB"/>
    <w:rsid w:val="001F789A"/>
    <w:rsid w:val="001F7D64"/>
    <w:rsid w:val="001F7EBD"/>
    <w:rsid w:val="0020017B"/>
    <w:rsid w:val="00200FB9"/>
    <w:rsid w:val="002016C7"/>
    <w:rsid w:val="00201AF9"/>
    <w:rsid w:val="00202502"/>
    <w:rsid w:val="002025E4"/>
    <w:rsid w:val="00202800"/>
    <w:rsid w:val="0020304E"/>
    <w:rsid w:val="002032C0"/>
    <w:rsid w:val="002035D0"/>
    <w:rsid w:val="00203A08"/>
    <w:rsid w:val="00203AB7"/>
    <w:rsid w:val="00203BE1"/>
    <w:rsid w:val="00203D8B"/>
    <w:rsid w:val="00203EB9"/>
    <w:rsid w:val="00204F76"/>
    <w:rsid w:val="002050FF"/>
    <w:rsid w:val="0020562C"/>
    <w:rsid w:val="002070E3"/>
    <w:rsid w:val="00207352"/>
    <w:rsid w:val="00207E00"/>
    <w:rsid w:val="0021152A"/>
    <w:rsid w:val="00211552"/>
    <w:rsid w:val="002123C4"/>
    <w:rsid w:val="00212411"/>
    <w:rsid w:val="00212B47"/>
    <w:rsid w:val="0021309A"/>
    <w:rsid w:val="00213246"/>
    <w:rsid w:val="002143DE"/>
    <w:rsid w:val="00214942"/>
    <w:rsid w:val="00214DC5"/>
    <w:rsid w:val="00215453"/>
    <w:rsid w:val="00215A0B"/>
    <w:rsid w:val="00215A0E"/>
    <w:rsid w:val="002169CE"/>
    <w:rsid w:val="00216E0B"/>
    <w:rsid w:val="0021707B"/>
    <w:rsid w:val="00217352"/>
    <w:rsid w:val="00217E3F"/>
    <w:rsid w:val="00217EF1"/>
    <w:rsid w:val="00220015"/>
    <w:rsid w:val="002204C8"/>
    <w:rsid w:val="002205CC"/>
    <w:rsid w:val="00220EE6"/>
    <w:rsid w:val="00220FE4"/>
    <w:rsid w:val="00221749"/>
    <w:rsid w:val="0022254A"/>
    <w:rsid w:val="00222CA6"/>
    <w:rsid w:val="00222E5D"/>
    <w:rsid w:val="002233E9"/>
    <w:rsid w:val="0022398B"/>
    <w:rsid w:val="00223D5B"/>
    <w:rsid w:val="00224102"/>
    <w:rsid w:val="00224676"/>
    <w:rsid w:val="00224798"/>
    <w:rsid w:val="002253B6"/>
    <w:rsid w:val="002253D1"/>
    <w:rsid w:val="0022596D"/>
    <w:rsid w:val="00225BAE"/>
    <w:rsid w:val="0022729C"/>
    <w:rsid w:val="00227490"/>
    <w:rsid w:val="00227620"/>
    <w:rsid w:val="002304EC"/>
    <w:rsid w:val="00230575"/>
    <w:rsid w:val="00230D4B"/>
    <w:rsid w:val="00230FC3"/>
    <w:rsid w:val="00232CCC"/>
    <w:rsid w:val="002333B3"/>
    <w:rsid w:val="00233635"/>
    <w:rsid w:val="002339E1"/>
    <w:rsid w:val="00234067"/>
    <w:rsid w:val="002342BE"/>
    <w:rsid w:val="002342ED"/>
    <w:rsid w:val="00235302"/>
    <w:rsid w:val="002353D5"/>
    <w:rsid w:val="002359C7"/>
    <w:rsid w:val="00236159"/>
    <w:rsid w:val="002368AB"/>
    <w:rsid w:val="00236B07"/>
    <w:rsid w:val="00236F97"/>
    <w:rsid w:val="00237F11"/>
    <w:rsid w:val="00240BA1"/>
    <w:rsid w:val="00240C11"/>
    <w:rsid w:val="00240D16"/>
    <w:rsid w:val="00240D2C"/>
    <w:rsid w:val="00241234"/>
    <w:rsid w:val="00241299"/>
    <w:rsid w:val="00241A1C"/>
    <w:rsid w:val="00241D7E"/>
    <w:rsid w:val="0024220D"/>
    <w:rsid w:val="00242420"/>
    <w:rsid w:val="0024243E"/>
    <w:rsid w:val="002424DF"/>
    <w:rsid w:val="002425F2"/>
    <w:rsid w:val="002438ED"/>
    <w:rsid w:val="00244918"/>
    <w:rsid w:val="00245453"/>
    <w:rsid w:val="00245F17"/>
    <w:rsid w:val="0024670B"/>
    <w:rsid w:val="00246D1D"/>
    <w:rsid w:val="00246F00"/>
    <w:rsid w:val="0025003E"/>
    <w:rsid w:val="00250620"/>
    <w:rsid w:val="00250949"/>
    <w:rsid w:val="002528AD"/>
    <w:rsid w:val="00252A5B"/>
    <w:rsid w:val="00252FF5"/>
    <w:rsid w:val="002530D5"/>
    <w:rsid w:val="00253C37"/>
    <w:rsid w:val="0025450D"/>
    <w:rsid w:val="00255381"/>
    <w:rsid w:val="002554C7"/>
    <w:rsid w:val="00255D00"/>
    <w:rsid w:val="00255FB7"/>
    <w:rsid w:val="00256075"/>
    <w:rsid w:val="002560DE"/>
    <w:rsid w:val="00256940"/>
    <w:rsid w:val="00257263"/>
    <w:rsid w:val="002577EC"/>
    <w:rsid w:val="00257881"/>
    <w:rsid w:val="002579D1"/>
    <w:rsid w:val="00257CED"/>
    <w:rsid w:val="0026001B"/>
    <w:rsid w:val="00260098"/>
    <w:rsid w:val="00260161"/>
    <w:rsid w:val="002603F0"/>
    <w:rsid w:val="002605F6"/>
    <w:rsid w:val="0026065C"/>
    <w:rsid w:val="002607BA"/>
    <w:rsid w:val="002607C8"/>
    <w:rsid w:val="00260945"/>
    <w:rsid w:val="002618F9"/>
    <w:rsid w:val="00261F72"/>
    <w:rsid w:val="00262496"/>
    <w:rsid w:val="00262CD2"/>
    <w:rsid w:val="00262D17"/>
    <w:rsid w:val="00263994"/>
    <w:rsid w:val="00263CB0"/>
    <w:rsid w:val="002642C7"/>
    <w:rsid w:val="0026482D"/>
    <w:rsid w:val="00264B7F"/>
    <w:rsid w:val="00264C9D"/>
    <w:rsid w:val="00265920"/>
    <w:rsid w:val="00265DEA"/>
    <w:rsid w:val="0026678A"/>
    <w:rsid w:val="00266822"/>
    <w:rsid w:val="00267201"/>
    <w:rsid w:val="00270648"/>
    <w:rsid w:val="00271933"/>
    <w:rsid w:val="00271BE1"/>
    <w:rsid w:val="00271E8A"/>
    <w:rsid w:val="002725AE"/>
    <w:rsid w:val="002725C0"/>
    <w:rsid w:val="00272DE7"/>
    <w:rsid w:val="00273985"/>
    <w:rsid w:val="00273CF3"/>
    <w:rsid w:val="00273D4B"/>
    <w:rsid w:val="0027460B"/>
    <w:rsid w:val="00275283"/>
    <w:rsid w:val="00275505"/>
    <w:rsid w:val="00275781"/>
    <w:rsid w:val="00275E08"/>
    <w:rsid w:val="00275E18"/>
    <w:rsid w:val="002760C4"/>
    <w:rsid w:val="00276F92"/>
    <w:rsid w:val="00277688"/>
    <w:rsid w:val="002802AD"/>
    <w:rsid w:val="00281167"/>
    <w:rsid w:val="00281430"/>
    <w:rsid w:val="002816EF"/>
    <w:rsid w:val="0028177F"/>
    <w:rsid w:val="00281A5A"/>
    <w:rsid w:val="002821A2"/>
    <w:rsid w:val="00282E39"/>
    <w:rsid w:val="00283024"/>
    <w:rsid w:val="00283040"/>
    <w:rsid w:val="00283428"/>
    <w:rsid w:val="002835D3"/>
    <w:rsid w:val="00283607"/>
    <w:rsid w:val="002837D6"/>
    <w:rsid w:val="00283A6A"/>
    <w:rsid w:val="00283FF2"/>
    <w:rsid w:val="002844CE"/>
    <w:rsid w:val="00284B33"/>
    <w:rsid w:val="00284B45"/>
    <w:rsid w:val="00284CB8"/>
    <w:rsid w:val="00284ED1"/>
    <w:rsid w:val="0028607D"/>
    <w:rsid w:val="0028643E"/>
    <w:rsid w:val="00286780"/>
    <w:rsid w:val="00286AAB"/>
    <w:rsid w:val="00286AC8"/>
    <w:rsid w:val="002900B4"/>
    <w:rsid w:val="00291251"/>
    <w:rsid w:val="00291302"/>
    <w:rsid w:val="00291892"/>
    <w:rsid w:val="00291C71"/>
    <w:rsid w:val="00292305"/>
    <w:rsid w:val="0029230C"/>
    <w:rsid w:val="002925F2"/>
    <w:rsid w:val="002930AF"/>
    <w:rsid w:val="0029393E"/>
    <w:rsid w:val="002942A8"/>
    <w:rsid w:val="00294B83"/>
    <w:rsid w:val="00294DB8"/>
    <w:rsid w:val="002962B6"/>
    <w:rsid w:val="002970A1"/>
    <w:rsid w:val="0029749A"/>
    <w:rsid w:val="00297573"/>
    <w:rsid w:val="00297B29"/>
    <w:rsid w:val="00297F28"/>
    <w:rsid w:val="002A034F"/>
    <w:rsid w:val="002A18E4"/>
    <w:rsid w:val="002A3597"/>
    <w:rsid w:val="002A3BF8"/>
    <w:rsid w:val="002A3C98"/>
    <w:rsid w:val="002A3F60"/>
    <w:rsid w:val="002A49C0"/>
    <w:rsid w:val="002A4A3C"/>
    <w:rsid w:val="002A712A"/>
    <w:rsid w:val="002A7B9B"/>
    <w:rsid w:val="002A7E09"/>
    <w:rsid w:val="002B0599"/>
    <w:rsid w:val="002B0DFB"/>
    <w:rsid w:val="002B104E"/>
    <w:rsid w:val="002B10FA"/>
    <w:rsid w:val="002B13E9"/>
    <w:rsid w:val="002B173D"/>
    <w:rsid w:val="002B1B43"/>
    <w:rsid w:val="002B2122"/>
    <w:rsid w:val="002B27B1"/>
    <w:rsid w:val="002B2817"/>
    <w:rsid w:val="002B2965"/>
    <w:rsid w:val="002B33C6"/>
    <w:rsid w:val="002B33F0"/>
    <w:rsid w:val="002B3423"/>
    <w:rsid w:val="002B385A"/>
    <w:rsid w:val="002B3948"/>
    <w:rsid w:val="002B3ADD"/>
    <w:rsid w:val="002B3BF9"/>
    <w:rsid w:val="002B433F"/>
    <w:rsid w:val="002B4533"/>
    <w:rsid w:val="002B49C7"/>
    <w:rsid w:val="002B56A4"/>
    <w:rsid w:val="002B5FA8"/>
    <w:rsid w:val="002B63CD"/>
    <w:rsid w:val="002B6888"/>
    <w:rsid w:val="002B7272"/>
    <w:rsid w:val="002B7AD5"/>
    <w:rsid w:val="002B7BDC"/>
    <w:rsid w:val="002B7C2C"/>
    <w:rsid w:val="002C033B"/>
    <w:rsid w:val="002C0C75"/>
    <w:rsid w:val="002C158B"/>
    <w:rsid w:val="002C18E0"/>
    <w:rsid w:val="002C1BB8"/>
    <w:rsid w:val="002C1D27"/>
    <w:rsid w:val="002C234A"/>
    <w:rsid w:val="002C242F"/>
    <w:rsid w:val="002C2A6B"/>
    <w:rsid w:val="002C4A3F"/>
    <w:rsid w:val="002C4B27"/>
    <w:rsid w:val="002C4C6E"/>
    <w:rsid w:val="002C4EB1"/>
    <w:rsid w:val="002C5BC9"/>
    <w:rsid w:val="002C5D10"/>
    <w:rsid w:val="002C66B1"/>
    <w:rsid w:val="002C6AD6"/>
    <w:rsid w:val="002C6D45"/>
    <w:rsid w:val="002C6FB2"/>
    <w:rsid w:val="002C713E"/>
    <w:rsid w:val="002C752D"/>
    <w:rsid w:val="002C7762"/>
    <w:rsid w:val="002C788A"/>
    <w:rsid w:val="002D0931"/>
    <w:rsid w:val="002D0FBB"/>
    <w:rsid w:val="002D100D"/>
    <w:rsid w:val="002D13DE"/>
    <w:rsid w:val="002D22F8"/>
    <w:rsid w:val="002D2685"/>
    <w:rsid w:val="002D321E"/>
    <w:rsid w:val="002D327B"/>
    <w:rsid w:val="002D45CB"/>
    <w:rsid w:val="002D4A80"/>
    <w:rsid w:val="002D4D8E"/>
    <w:rsid w:val="002D4DC9"/>
    <w:rsid w:val="002D5566"/>
    <w:rsid w:val="002D5A89"/>
    <w:rsid w:val="002D5CE5"/>
    <w:rsid w:val="002D61D8"/>
    <w:rsid w:val="002D6BD4"/>
    <w:rsid w:val="002D7A85"/>
    <w:rsid w:val="002D7CCF"/>
    <w:rsid w:val="002E0899"/>
    <w:rsid w:val="002E0969"/>
    <w:rsid w:val="002E13E3"/>
    <w:rsid w:val="002E1B6A"/>
    <w:rsid w:val="002E1DF0"/>
    <w:rsid w:val="002E1F7C"/>
    <w:rsid w:val="002E2137"/>
    <w:rsid w:val="002E230D"/>
    <w:rsid w:val="002E25F0"/>
    <w:rsid w:val="002E27C6"/>
    <w:rsid w:val="002E2816"/>
    <w:rsid w:val="002E2D9B"/>
    <w:rsid w:val="002E3249"/>
    <w:rsid w:val="002E324B"/>
    <w:rsid w:val="002E3A09"/>
    <w:rsid w:val="002E44D6"/>
    <w:rsid w:val="002E560D"/>
    <w:rsid w:val="002E5686"/>
    <w:rsid w:val="002E58D6"/>
    <w:rsid w:val="002E77A8"/>
    <w:rsid w:val="002E78CB"/>
    <w:rsid w:val="002E7BBC"/>
    <w:rsid w:val="002F06CF"/>
    <w:rsid w:val="002F0732"/>
    <w:rsid w:val="002F09EB"/>
    <w:rsid w:val="002F0E45"/>
    <w:rsid w:val="002F1544"/>
    <w:rsid w:val="002F1C33"/>
    <w:rsid w:val="002F1C75"/>
    <w:rsid w:val="002F2053"/>
    <w:rsid w:val="002F2E40"/>
    <w:rsid w:val="002F32B7"/>
    <w:rsid w:val="002F3622"/>
    <w:rsid w:val="002F3CD1"/>
    <w:rsid w:val="002F3EFD"/>
    <w:rsid w:val="002F3F8C"/>
    <w:rsid w:val="002F4913"/>
    <w:rsid w:val="002F49FE"/>
    <w:rsid w:val="002F5712"/>
    <w:rsid w:val="002F5AF3"/>
    <w:rsid w:val="002F67C5"/>
    <w:rsid w:val="002F6AA4"/>
    <w:rsid w:val="003004B9"/>
    <w:rsid w:val="00300A80"/>
    <w:rsid w:val="00301DC3"/>
    <w:rsid w:val="00302577"/>
    <w:rsid w:val="003029F7"/>
    <w:rsid w:val="00302D0A"/>
    <w:rsid w:val="00303013"/>
    <w:rsid w:val="00303138"/>
    <w:rsid w:val="00303C6E"/>
    <w:rsid w:val="00303F3D"/>
    <w:rsid w:val="00304304"/>
    <w:rsid w:val="00304378"/>
    <w:rsid w:val="003046F3"/>
    <w:rsid w:val="00304C2F"/>
    <w:rsid w:val="00305348"/>
    <w:rsid w:val="003056E0"/>
    <w:rsid w:val="00305772"/>
    <w:rsid w:val="00305B6A"/>
    <w:rsid w:val="003060C6"/>
    <w:rsid w:val="00306928"/>
    <w:rsid w:val="00307157"/>
    <w:rsid w:val="0030733A"/>
    <w:rsid w:val="00307628"/>
    <w:rsid w:val="00307940"/>
    <w:rsid w:val="00307E1F"/>
    <w:rsid w:val="003102A2"/>
    <w:rsid w:val="0031054F"/>
    <w:rsid w:val="0031093E"/>
    <w:rsid w:val="00310CFE"/>
    <w:rsid w:val="00310EC2"/>
    <w:rsid w:val="00311384"/>
    <w:rsid w:val="00311EB3"/>
    <w:rsid w:val="00311F9C"/>
    <w:rsid w:val="0031206B"/>
    <w:rsid w:val="003123DB"/>
    <w:rsid w:val="003125FC"/>
    <w:rsid w:val="00312A49"/>
    <w:rsid w:val="00312BC7"/>
    <w:rsid w:val="00312E62"/>
    <w:rsid w:val="0031309F"/>
    <w:rsid w:val="00313687"/>
    <w:rsid w:val="0031597F"/>
    <w:rsid w:val="00315B9C"/>
    <w:rsid w:val="00315E72"/>
    <w:rsid w:val="00315FA6"/>
    <w:rsid w:val="00316465"/>
    <w:rsid w:val="003166ED"/>
    <w:rsid w:val="003168B2"/>
    <w:rsid w:val="003175B7"/>
    <w:rsid w:val="00317803"/>
    <w:rsid w:val="00317AA0"/>
    <w:rsid w:val="00317C74"/>
    <w:rsid w:val="00320047"/>
    <w:rsid w:val="00320944"/>
    <w:rsid w:val="00320B36"/>
    <w:rsid w:val="00321210"/>
    <w:rsid w:val="003217CC"/>
    <w:rsid w:val="00322937"/>
    <w:rsid w:val="003231EA"/>
    <w:rsid w:val="00323552"/>
    <w:rsid w:val="00324927"/>
    <w:rsid w:val="00324A0A"/>
    <w:rsid w:val="00325093"/>
    <w:rsid w:val="003250CE"/>
    <w:rsid w:val="003251E8"/>
    <w:rsid w:val="00325234"/>
    <w:rsid w:val="00326D24"/>
    <w:rsid w:val="00326F31"/>
    <w:rsid w:val="00326F33"/>
    <w:rsid w:val="00327218"/>
    <w:rsid w:val="0032772F"/>
    <w:rsid w:val="00327831"/>
    <w:rsid w:val="00327DB3"/>
    <w:rsid w:val="00327FC3"/>
    <w:rsid w:val="003305EA"/>
    <w:rsid w:val="00330628"/>
    <w:rsid w:val="00330C1D"/>
    <w:rsid w:val="00330D3B"/>
    <w:rsid w:val="0033159A"/>
    <w:rsid w:val="00331979"/>
    <w:rsid w:val="00331BA9"/>
    <w:rsid w:val="003326B8"/>
    <w:rsid w:val="00332F19"/>
    <w:rsid w:val="00333205"/>
    <w:rsid w:val="003332F6"/>
    <w:rsid w:val="003337FC"/>
    <w:rsid w:val="0033452F"/>
    <w:rsid w:val="00334607"/>
    <w:rsid w:val="003348BE"/>
    <w:rsid w:val="00334B54"/>
    <w:rsid w:val="00334C32"/>
    <w:rsid w:val="00334D03"/>
    <w:rsid w:val="00334D15"/>
    <w:rsid w:val="00334EDB"/>
    <w:rsid w:val="00335056"/>
    <w:rsid w:val="00335508"/>
    <w:rsid w:val="003362F1"/>
    <w:rsid w:val="00340080"/>
    <w:rsid w:val="00340EBF"/>
    <w:rsid w:val="003423EE"/>
    <w:rsid w:val="00342599"/>
    <w:rsid w:val="0034363D"/>
    <w:rsid w:val="003436CB"/>
    <w:rsid w:val="00343F95"/>
    <w:rsid w:val="0034412B"/>
    <w:rsid w:val="003447B7"/>
    <w:rsid w:val="00344AC0"/>
    <w:rsid w:val="00345115"/>
    <w:rsid w:val="00345489"/>
    <w:rsid w:val="00345A90"/>
    <w:rsid w:val="003472E0"/>
    <w:rsid w:val="00347431"/>
    <w:rsid w:val="00347859"/>
    <w:rsid w:val="00347E48"/>
    <w:rsid w:val="00350215"/>
    <w:rsid w:val="003515B0"/>
    <w:rsid w:val="00351856"/>
    <w:rsid w:val="00351A78"/>
    <w:rsid w:val="00351C10"/>
    <w:rsid w:val="00351D36"/>
    <w:rsid w:val="00352C69"/>
    <w:rsid w:val="00354A09"/>
    <w:rsid w:val="00354DEB"/>
    <w:rsid w:val="003550DC"/>
    <w:rsid w:val="003554E9"/>
    <w:rsid w:val="003558E5"/>
    <w:rsid w:val="003562B8"/>
    <w:rsid w:val="00357220"/>
    <w:rsid w:val="00357832"/>
    <w:rsid w:val="00357B35"/>
    <w:rsid w:val="0036004B"/>
    <w:rsid w:val="0036039C"/>
    <w:rsid w:val="00361082"/>
    <w:rsid w:val="00361237"/>
    <w:rsid w:val="003617C6"/>
    <w:rsid w:val="00361840"/>
    <w:rsid w:val="0036242D"/>
    <w:rsid w:val="00362DAD"/>
    <w:rsid w:val="00363092"/>
    <w:rsid w:val="00363411"/>
    <w:rsid w:val="00363509"/>
    <w:rsid w:val="00363A4E"/>
    <w:rsid w:val="00363EA2"/>
    <w:rsid w:val="003649B2"/>
    <w:rsid w:val="00364E9C"/>
    <w:rsid w:val="00364EFA"/>
    <w:rsid w:val="00365D17"/>
    <w:rsid w:val="00365FC7"/>
    <w:rsid w:val="003661E5"/>
    <w:rsid w:val="003668ED"/>
    <w:rsid w:val="00367B22"/>
    <w:rsid w:val="00367D1F"/>
    <w:rsid w:val="003709F2"/>
    <w:rsid w:val="0037146C"/>
    <w:rsid w:val="00371543"/>
    <w:rsid w:val="00371A1A"/>
    <w:rsid w:val="003729E4"/>
    <w:rsid w:val="00372CC6"/>
    <w:rsid w:val="00373C8E"/>
    <w:rsid w:val="0037403A"/>
    <w:rsid w:val="0037407D"/>
    <w:rsid w:val="003745F9"/>
    <w:rsid w:val="0037515F"/>
    <w:rsid w:val="003752E2"/>
    <w:rsid w:val="003753F0"/>
    <w:rsid w:val="0037590D"/>
    <w:rsid w:val="00376193"/>
    <w:rsid w:val="00376564"/>
    <w:rsid w:val="003767D5"/>
    <w:rsid w:val="00377719"/>
    <w:rsid w:val="00377C21"/>
    <w:rsid w:val="00377E26"/>
    <w:rsid w:val="0038061F"/>
    <w:rsid w:val="003807C6"/>
    <w:rsid w:val="00380833"/>
    <w:rsid w:val="00380CF2"/>
    <w:rsid w:val="00381A2F"/>
    <w:rsid w:val="003826FA"/>
    <w:rsid w:val="00382739"/>
    <w:rsid w:val="00382A92"/>
    <w:rsid w:val="00383056"/>
    <w:rsid w:val="003831B8"/>
    <w:rsid w:val="00384197"/>
    <w:rsid w:val="00384537"/>
    <w:rsid w:val="00384A35"/>
    <w:rsid w:val="00384E6F"/>
    <w:rsid w:val="0038571C"/>
    <w:rsid w:val="003858E5"/>
    <w:rsid w:val="003859A1"/>
    <w:rsid w:val="00385B9C"/>
    <w:rsid w:val="00386226"/>
    <w:rsid w:val="00386D23"/>
    <w:rsid w:val="00386D5B"/>
    <w:rsid w:val="00386EDA"/>
    <w:rsid w:val="00387064"/>
    <w:rsid w:val="003877D1"/>
    <w:rsid w:val="003878F3"/>
    <w:rsid w:val="00387AA0"/>
    <w:rsid w:val="003905B9"/>
    <w:rsid w:val="00390783"/>
    <w:rsid w:val="00390E20"/>
    <w:rsid w:val="00391278"/>
    <w:rsid w:val="003921AE"/>
    <w:rsid w:val="00392E46"/>
    <w:rsid w:val="003935E3"/>
    <w:rsid w:val="003937FD"/>
    <w:rsid w:val="00393FDF"/>
    <w:rsid w:val="00393FF6"/>
    <w:rsid w:val="003942DF"/>
    <w:rsid w:val="00394EBF"/>
    <w:rsid w:val="003951C0"/>
    <w:rsid w:val="0039614C"/>
    <w:rsid w:val="00396F32"/>
    <w:rsid w:val="003A044B"/>
    <w:rsid w:val="003A0677"/>
    <w:rsid w:val="003A087B"/>
    <w:rsid w:val="003A1C89"/>
    <w:rsid w:val="003A1E12"/>
    <w:rsid w:val="003A2227"/>
    <w:rsid w:val="003A277D"/>
    <w:rsid w:val="003A27F4"/>
    <w:rsid w:val="003A322F"/>
    <w:rsid w:val="003A373E"/>
    <w:rsid w:val="003A3AA0"/>
    <w:rsid w:val="003A3F07"/>
    <w:rsid w:val="003A4ED6"/>
    <w:rsid w:val="003A5121"/>
    <w:rsid w:val="003A5325"/>
    <w:rsid w:val="003A5427"/>
    <w:rsid w:val="003A544C"/>
    <w:rsid w:val="003A61CF"/>
    <w:rsid w:val="003A6A9D"/>
    <w:rsid w:val="003A6DDF"/>
    <w:rsid w:val="003A771E"/>
    <w:rsid w:val="003A798B"/>
    <w:rsid w:val="003A7E6F"/>
    <w:rsid w:val="003B0455"/>
    <w:rsid w:val="003B0667"/>
    <w:rsid w:val="003B096E"/>
    <w:rsid w:val="003B0E3D"/>
    <w:rsid w:val="003B0F66"/>
    <w:rsid w:val="003B1237"/>
    <w:rsid w:val="003B19EE"/>
    <w:rsid w:val="003B1BF9"/>
    <w:rsid w:val="003B1D5C"/>
    <w:rsid w:val="003B1E53"/>
    <w:rsid w:val="003B2499"/>
    <w:rsid w:val="003B3A0F"/>
    <w:rsid w:val="003B3D9C"/>
    <w:rsid w:val="003B49A2"/>
    <w:rsid w:val="003B4FFC"/>
    <w:rsid w:val="003B509D"/>
    <w:rsid w:val="003B52EB"/>
    <w:rsid w:val="003B561D"/>
    <w:rsid w:val="003B58F8"/>
    <w:rsid w:val="003B5CA9"/>
    <w:rsid w:val="003B5EC9"/>
    <w:rsid w:val="003B5ED9"/>
    <w:rsid w:val="003B6118"/>
    <w:rsid w:val="003B63BD"/>
    <w:rsid w:val="003B65FC"/>
    <w:rsid w:val="003B6970"/>
    <w:rsid w:val="003B6AB2"/>
    <w:rsid w:val="003B72FC"/>
    <w:rsid w:val="003B770D"/>
    <w:rsid w:val="003B7DBD"/>
    <w:rsid w:val="003C02A0"/>
    <w:rsid w:val="003C0B82"/>
    <w:rsid w:val="003C0E03"/>
    <w:rsid w:val="003C0EA1"/>
    <w:rsid w:val="003C118B"/>
    <w:rsid w:val="003C12AB"/>
    <w:rsid w:val="003C12DD"/>
    <w:rsid w:val="003C18B5"/>
    <w:rsid w:val="003C1CD4"/>
    <w:rsid w:val="003C1F30"/>
    <w:rsid w:val="003C2F11"/>
    <w:rsid w:val="003C2F81"/>
    <w:rsid w:val="003C329A"/>
    <w:rsid w:val="003C329F"/>
    <w:rsid w:val="003C35ED"/>
    <w:rsid w:val="003C361F"/>
    <w:rsid w:val="003C4A99"/>
    <w:rsid w:val="003C547F"/>
    <w:rsid w:val="003C57A8"/>
    <w:rsid w:val="003C6DB4"/>
    <w:rsid w:val="003C6E45"/>
    <w:rsid w:val="003C79B7"/>
    <w:rsid w:val="003D0C51"/>
    <w:rsid w:val="003D155D"/>
    <w:rsid w:val="003D1AEE"/>
    <w:rsid w:val="003D1F5A"/>
    <w:rsid w:val="003D2084"/>
    <w:rsid w:val="003D213F"/>
    <w:rsid w:val="003D230B"/>
    <w:rsid w:val="003D267B"/>
    <w:rsid w:val="003D2D29"/>
    <w:rsid w:val="003D3DBE"/>
    <w:rsid w:val="003D483E"/>
    <w:rsid w:val="003D49A4"/>
    <w:rsid w:val="003D4CD6"/>
    <w:rsid w:val="003D515C"/>
    <w:rsid w:val="003D5428"/>
    <w:rsid w:val="003D59BA"/>
    <w:rsid w:val="003D66D0"/>
    <w:rsid w:val="003D6B8E"/>
    <w:rsid w:val="003D6D76"/>
    <w:rsid w:val="003D6E7A"/>
    <w:rsid w:val="003D6F7F"/>
    <w:rsid w:val="003D7164"/>
    <w:rsid w:val="003D7286"/>
    <w:rsid w:val="003D7991"/>
    <w:rsid w:val="003D7EB7"/>
    <w:rsid w:val="003D7F8C"/>
    <w:rsid w:val="003E0D52"/>
    <w:rsid w:val="003E1705"/>
    <w:rsid w:val="003E1987"/>
    <w:rsid w:val="003E2501"/>
    <w:rsid w:val="003E2840"/>
    <w:rsid w:val="003E3613"/>
    <w:rsid w:val="003E415B"/>
    <w:rsid w:val="003E48DC"/>
    <w:rsid w:val="003E5757"/>
    <w:rsid w:val="003E6652"/>
    <w:rsid w:val="003E6653"/>
    <w:rsid w:val="003E6D0F"/>
    <w:rsid w:val="003E7E57"/>
    <w:rsid w:val="003F001F"/>
    <w:rsid w:val="003F030D"/>
    <w:rsid w:val="003F0765"/>
    <w:rsid w:val="003F0B40"/>
    <w:rsid w:val="003F112B"/>
    <w:rsid w:val="003F1493"/>
    <w:rsid w:val="003F1F64"/>
    <w:rsid w:val="003F29E6"/>
    <w:rsid w:val="003F2A8E"/>
    <w:rsid w:val="003F30B1"/>
    <w:rsid w:val="003F3EB2"/>
    <w:rsid w:val="003F4114"/>
    <w:rsid w:val="003F431F"/>
    <w:rsid w:val="003F45D4"/>
    <w:rsid w:val="003F498C"/>
    <w:rsid w:val="003F4EB8"/>
    <w:rsid w:val="003F50C7"/>
    <w:rsid w:val="003F54BA"/>
    <w:rsid w:val="003F5575"/>
    <w:rsid w:val="003F571D"/>
    <w:rsid w:val="003F5A8B"/>
    <w:rsid w:val="003F62CC"/>
    <w:rsid w:val="003F6BDC"/>
    <w:rsid w:val="003F73C0"/>
    <w:rsid w:val="003F74D7"/>
    <w:rsid w:val="00402223"/>
    <w:rsid w:val="00402462"/>
    <w:rsid w:val="00402F4D"/>
    <w:rsid w:val="0040374D"/>
    <w:rsid w:val="00403C86"/>
    <w:rsid w:val="0040566C"/>
    <w:rsid w:val="0040571D"/>
    <w:rsid w:val="00405927"/>
    <w:rsid w:val="00406465"/>
    <w:rsid w:val="00406AA0"/>
    <w:rsid w:val="004071A7"/>
    <w:rsid w:val="004102B6"/>
    <w:rsid w:val="004104DF"/>
    <w:rsid w:val="00410F86"/>
    <w:rsid w:val="004111DB"/>
    <w:rsid w:val="0041149C"/>
    <w:rsid w:val="004115CF"/>
    <w:rsid w:val="00412483"/>
    <w:rsid w:val="004124F6"/>
    <w:rsid w:val="00412F9A"/>
    <w:rsid w:val="004138DA"/>
    <w:rsid w:val="00413948"/>
    <w:rsid w:val="00413D9F"/>
    <w:rsid w:val="00413E5C"/>
    <w:rsid w:val="004144F3"/>
    <w:rsid w:val="00414619"/>
    <w:rsid w:val="0041490D"/>
    <w:rsid w:val="00415228"/>
    <w:rsid w:val="00415307"/>
    <w:rsid w:val="004153E7"/>
    <w:rsid w:val="00415509"/>
    <w:rsid w:val="004166C4"/>
    <w:rsid w:val="004168D5"/>
    <w:rsid w:val="00416F9C"/>
    <w:rsid w:val="00417615"/>
    <w:rsid w:val="00417B12"/>
    <w:rsid w:val="00417BA7"/>
    <w:rsid w:val="00417CB1"/>
    <w:rsid w:val="00420953"/>
    <w:rsid w:val="00420ABA"/>
    <w:rsid w:val="00420D76"/>
    <w:rsid w:val="00421482"/>
    <w:rsid w:val="004215B1"/>
    <w:rsid w:val="00421ABC"/>
    <w:rsid w:val="0042216C"/>
    <w:rsid w:val="00422DF6"/>
    <w:rsid w:val="00423BF0"/>
    <w:rsid w:val="00423CB6"/>
    <w:rsid w:val="004249B5"/>
    <w:rsid w:val="004249C7"/>
    <w:rsid w:val="00425283"/>
    <w:rsid w:val="004258F8"/>
    <w:rsid w:val="00425E03"/>
    <w:rsid w:val="00427456"/>
    <w:rsid w:val="00427623"/>
    <w:rsid w:val="00427836"/>
    <w:rsid w:val="0042786C"/>
    <w:rsid w:val="00427B64"/>
    <w:rsid w:val="00427B65"/>
    <w:rsid w:val="00430D10"/>
    <w:rsid w:val="00430F1D"/>
    <w:rsid w:val="00430FDD"/>
    <w:rsid w:val="004310F5"/>
    <w:rsid w:val="004312FB"/>
    <w:rsid w:val="004313E8"/>
    <w:rsid w:val="00431801"/>
    <w:rsid w:val="0043199D"/>
    <w:rsid w:val="00432833"/>
    <w:rsid w:val="00432DB5"/>
    <w:rsid w:val="00432F05"/>
    <w:rsid w:val="00433935"/>
    <w:rsid w:val="00433A0F"/>
    <w:rsid w:val="00433A8D"/>
    <w:rsid w:val="00433EF2"/>
    <w:rsid w:val="0043489A"/>
    <w:rsid w:val="00434CCA"/>
    <w:rsid w:val="0043513E"/>
    <w:rsid w:val="0043520B"/>
    <w:rsid w:val="0043530B"/>
    <w:rsid w:val="00435ADD"/>
    <w:rsid w:val="00435B92"/>
    <w:rsid w:val="0043652A"/>
    <w:rsid w:val="004368A4"/>
    <w:rsid w:val="00436987"/>
    <w:rsid w:val="00436DA7"/>
    <w:rsid w:val="00436DA8"/>
    <w:rsid w:val="00437333"/>
    <w:rsid w:val="00440387"/>
    <w:rsid w:val="004410D4"/>
    <w:rsid w:val="00441A0C"/>
    <w:rsid w:val="00442158"/>
    <w:rsid w:val="00442A18"/>
    <w:rsid w:val="00442B5B"/>
    <w:rsid w:val="004435E7"/>
    <w:rsid w:val="00444910"/>
    <w:rsid w:val="00444B1B"/>
    <w:rsid w:val="00446A24"/>
    <w:rsid w:val="00446D30"/>
    <w:rsid w:val="004473CC"/>
    <w:rsid w:val="00447BE1"/>
    <w:rsid w:val="00450554"/>
    <w:rsid w:val="00450CD1"/>
    <w:rsid w:val="00450D35"/>
    <w:rsid w:val="0045133F"/>
    <w:rsid w:val="00451B83"/>
    <w:rsid w:val="00451E36"/>
    <w:rsid w:val="00451E6D"/>
    <w:rsid w:val="0045223D"/>
    <w:rsid w:val="00452503"/>
    <w:rsid w:val="0045258A"/>
    <w:rsid w:val="00452A35"/>
    <w:rsid w:val="00452A97"/>
    <w:rsid w:val="00452B40"/>
    <w:rsid w:val="00452CBD"/>
    <w:rsid w:val="00453CED"/>
    <w:rsid w:val="00453F81"/>
    <w:rsid w:val="0045589E"/>
    <w:rsid w:val="00455AFF"/>
    <w:rsid w:val="00455E86"/>
    <w:rsid w:val="00455F5F"/>
    <w:rsid w:val="00456099"/>
    <w:rsid w:val="004564A3"/>
    <w:rsid w:val="004606FC"/>
    <w:rsid w:val="004609AA"/>
    <w:rsid w:val="0046106A"/>
    <w:rsid w:val="00461263"/>
    <w:rsid w:val="00461C64"/>
    <w:rsid w:val="00461CB9"/>
    <w:rsid w:val="00462A6B"/>
    <w:rsid w:val="00462C28"/>
    <w:rsid w:val="00463134"/>
    <w:rsid w:val="00464180"/>
    <w:rsid w:val="00464B2D"/>
    <w:rsid w:val="00465229"/>
    <w:rsid w:val="00465291"/>
    <w:rsid w:val="0046708F"/>
    <w:rsid w:val="00467598"/>
    <w:rsid w:val="00467667"/>
    <w:rsid w:val="00467EF2"/>
    <w:rsid w:val="00467F3A"/>
    <w:rsid w:val="00470558"/>
    <w:rsid w:val="00470C3F"/>
    <w:rsid w:val="00470C42"/>
    <w:rsid w:val="004713B3"/>
    <w:rsid w:val="00471489"/>
    <w:rsid w:val="004717DD"/>
    <w:rsid w:val="00471853"/>
    <w:rsid w:val="004721F8"/>
    <w:rsid w:val="004729EE"/>
    <w:rsid w:val="00473467"/>
    <w:rsid w:val="004735C7"/>
    <w:rsid w:val="00473960"/>
    <w:rsid w:val="00473E36"/>
    <w:rsid w:val="00473E4C"/>
    <w:rsid w:val="00473EC6"/>
    <w:rsid w:val="00474340"/>
    <w:rsid w:val="00474F37"/>
    <w:rsid w:val="00475964"/>
    <w:rsid w:val="004759B2"/>
    <w:rsid w:val="00475A4C"/>
    <w:rsid w:val="00475AF9"/>
    <w:rsid w:val="00475DB7"/>
    <w:rsid w:val="0047620F"/>
    <w:rsid w:val="00476817"/>
    <w:rsid w:val="00476B34"/>
    <w:rsid w:val="00477C2B"/>
    <w:rsid w:val="00477E9C"/>
    <w:rsid w:val="004801DE"/>
    <w:rsid w:val="004804CD"/>
    <w:rsid w:val="00481075"/>
    <w:rsid w:val="00481789"/>
    <w:rsid w:val="00482456"/>
    <w:rsid w:val="00483AB0"/>
    <w:rsid w:val="00483CC1"/>
    <w:rsid w:val="00483D72"/>
    <w:rsid w:val="00484138"/>
    <w:rsid w:val="00484AD7"/>
    <w:rsid w:val="0048544F"/>
    <w:rsid w:val="00485501"/>
    <w:rsid w:val="00485528"/>
    <w:rsid w:val="00485C33"/>
    <w:rsid w:val="00485E37"/>
    <w:rsid w:val="0048618D"/>
    <w:rsid w:val="004865C0"/>
    <w:rsid w:val="004867C4"/>
    <w:rsid w:val="004876F3"/>
    <w:rsid w:val="004876F8"/>
    <w:rsid w:val="00490453"/>
    <w:rsid w:val="00491A42"/>
    <w:rsid w:val="00491ACA"/>
    <w:rsid w:val="004923CC"/>
    <w:rsid w:val="0049443C"/>
    <w:rsid w:val="0049583D"/>
    <w:rsid w:val="00495DB3"/>
    <w:rsid w:val="004965AC"/>
    <w:rsid w:val="0049680C"/>
    <w:rsid w:val="00496BCA"/>
    <w:rsid w:val="00496D0D"/>
    <w:rsid w:val="00497BA6"/>
    <w:rsid w:val="00497C07"/>
    <w:rsid w:val="00497F24"/>
    <w:rsid w:val="00497FC5"/>
    <w:rsid w:val="004A0034"/>
    <w:rsid w:val="004A0509"/>
    <w:rsid w:val="004A0955"/>
    <w:rsid w:val="004A0C00"/>
    <w:rsid w:val="004A0CA9"/>
    <w:rsid w:val="004A1192"/>
    <w:rsid w:val="004A13E8"/>
    <w:rsid w:val="004A1A47"/>
    <w:rsid w:val="004A1FAF"/>
    <w:rsid w:val="004A2301"/>
    <w:rsid w:val="004A2448"/>
    <w:rsid w:val="004A2935"/>
    <w:rsid w:val="004A2B85"/>
    <w:rsid w:val="004A2C2C"/>
    <w:rsid w:val="004A3334"/>
    <w:rsid w:val="004A3362"/>
    <w:rsid w:val="004A34AF"/>
    <w:rsid w:val="004A35AF"/>
    <w:rsid w:val="004A3B8E"/>
    <w:rsid w:val="004A4439"/>
    <w:rsid w:val="004A4E6A"/>
    <w:rsid w:val="004A50AD"/>
    <w:rsid w:val="004A51F8"/>
    <w:rsid w:val="004A5766"/>
    <w:rsid w:val="004A5A0D"/>
    <w:rsid w:val="004A5D61"/>
    <w:rsid w:val="004A627C"/>
    <w:rsid w:val="004A6531"/>
    <w:rsid w:val="004A678E"/>
    <w:rsid w:val="004A6933"/>
    <w:rsid w:val="004A7302"/>
    <w:rsid w:val="004A749F"/>
    <w:rsid w:val="004B014F"/>
    <w:rsid w:val="004B0158"/>
    <w:rsid w:val="004B04FE"/>
    <w:rsid w:val="004B0648"/>
    <w:rsid w:val="004B0832"/>
    <w:rsid w:val="004B0DDA"/>
    <w:rsid w:val="004B0EA7"/>
    <w:rsid w:val="004B1282"/>
    <w:rsid w:val="004B19C7"/>
    <w:rsid w:val="004B1E04"/>
    <w:rsid w:val="004B1F8D"/>
    <w:rsid w:val="004B2273"/>
    <w:rsid w:val="004B248B"/>
    <w:rsid w:val="004B2B99"/>
    <w:rsid w:val="004B31D7"/>
    <w:rsid w:val="004B3278"/>
    <w:rsid w:val="004B331A"/>
    <w:rsid w:val="004B3C1E"/>
    <w:rsid w:val="004B47E8"/>
    <w:rsid w:val="004B4BE7"/>
    <w:rsid w:val="004B513A"/>
    <w:rsid w:val="004B5C29"/>
    <w:rsid w:val="004B5DBF"/>
    <w:rsid w:val="004B6462"/>
    <w:rsid w:val="004B743F"/>
    <w:rsid w:val="004B7A22"/>
    <w:rsid w:val="004B7F84"/>
    <w:rsid w:val="004C09AC"/>
    <w:rsid w:val="004C0B0A"/>
    <w:rsid w:val="004C1450"/>
    <w:rsid w:val="004C187B"/>
    <w:rsid w:val="004C265D"/>
    <w:rsid w:val="004C3922"/>
    <w:rsid w:val="004C3E83"/>
    <w:rsid w:val="004C3F87"/>
    <w:rsid w:val="004C42D3"/>
    <w:rsid w:val="004C4FB8"/>
    <w:rsid w:val="004C6003"/>
    <w:rsid w:val="004C643A"/>
    <w:rsid w:val="004C6AF1"/>
    <w:rsid w:val="004C6C73"/>
    <w:rsid w:val="004C7261"/>
    <w:rsid w:val="004C735F"/>
    <w:rsid w:val="004C7428"/>
    <w:rsid w:val="004C7BAF"/>
    <w:rsid w:val="004D024C"/>
    <w:rsid w:val="004D0EEE"/>
    <w:rsid w:val="004D125F"/>
    <w:rsid w:val="004D1AD5"/>
    <w:rsid w:val="004D1C12"/>
    <w:rsid w:val="004D1E92"/>
    <w:rsid w:val="004D206C"/>
    <w:rsid w:val="004D22A5"/>
    <w:rsid w:val="004D265E"/>
    <w:rsid w:val="004D2D1A"/>
    <w:rsid w:val="004D341A"/>
    <w:rsid w:val="004D394A"/>
    <w:rsid w:val="004D398B"/>
    <w:rsid w:val="004D3F90"/>
    <w:rsid w:val="004D40B4"/>
    <w:rsid w:val="004D4A9A"/>
    <w:rsid w:val="004D4B83"/>
    <w:rsid w:val="004D5013"/>
    <w:rsid w:val="004D5B0F"/>
    <w:rsid w:val="004D6223"/>
    <w:rsid w:val="004D6490"/>
    <w:rsid w:val="004D64FC"/>
    <w:rsid w:val="004D67E1"/>
    <w:rsid w:val="004E070E"/>
    <w:rsid w:val="004E08B0"/>
    <w:rsid w:val="004E0CA1"/>
    <w:rsid w:val="004E1608"/>
    <w:rsid w:val="004E288A"/>
    <w:rsid w:val="004E2925"/>
    <w:rsid w:val="004E36DA"/>
    <w:rsid w:val="004E3DBD"/>
    <w:rsid w:val="004E5623"/>
    <w:rsid w:val="004E5B73"/>
    <w:rsid w:val="004E65B0"/>
    <w:rsid w:val="004E6C08"/>
    <w:rsid w:val="004E72A1"/>
    <w:rsid w:val="004E76D1"/>
    <w:rsid w:val="004E7A52"/>
    <w:rsid w:val="004E7A78"/>
    <w:rsid w:val="004E7AE4"/>
    <w:rsid w:val="004F126F"/>
    <w:rsid w:val="004F1E61"/>
    <w:rsid w:val="004F2392"/>
    <w:rsid w:val="004F2AD1"/>
    <w:rsid w:val="004F2F64"/>
    <w:rsid w:val="004F3AA2"/>
    <w:rsid w:val="004F3C40"/>
    <w:rsid w:val="004F3DC0"/>
    <w:rsid w:val="004F3F72"/>
    <w:rsid w:val="004F4D08"/>
    <w:rsid w:val="004F5389"/>
    <w:rsid w:val="004F55D0"/>
    <w:rsid w:val="004F57AB"/>
    <w:rsid w:val="004F5F9B"/>
    <w:rsid w:val="004F609B"/>
    <w:rsid w:val="004F610B"/>
    <w:rsid w:val="004F6688"/>
    <w:rsid w:val="004F6B31"/>
    <w:rsid w:val="004F74C6"/>
    <w:rsid w:val="005006BE"/>
    <w:rsid w:val="00501ECA"/>
    <w:rsid w:val="005023BB"/>
    <w:rsid w:val="005034CC"/>
    <w:rsid w:val="00503656"/>
    <w:rsid w:val="00503F34"/>
    <w:rsid w:val="005041CC"/>
    <w:rsid w:val="0050443E"/>
    <w:rsid w:val="0050583D"/>
    <w:rsid w:val="00505978"/>
    <w:rsid w:val="0050602D"/>
    <w:rsid w:val="00506B96"/>
    <w:rsid w:val="00507F34"/>
    <w:rsid w:val="00510D94"/>
    <w:rsid w:val="00510EB4"/>
    <w:rsid w:val="00511C03"/>
    <w:rsid w:val="00511D97"/>
    <w:rsid w:val="00511EE1"/>
    <w:rsid w:val="00512493"/>
    <w:rsid w:val="00512788"/>
    <w:rsid w:val="00512866"/>
    <w:rsid w:val="0051332A"/>
    <w:rsid w:val="0051346A"/>
    <w:rsid w:val="00513765"/>
    <w:rsid w:val="00513C2B"/>
    <w:rsid w:val="00514030"/>
    <w:rsid w:val="00514283"/>
    <w:rsid w:val="005144E2"/>
    <w:rsid w:val="0051480E"/>
    <w:rsid w:val="00514E73"/>
    <w:rsid w:val="005150BF"/>
    <w:rsid w:val="00515294"/>
    <w:rsid w:val="00515339"/>
    <w:rsid w:val="005160FF"/>
    <w:rsid w:val="00516C16"/>
    <w:rsid w:val="00516E49"/>
    <w:rsid w:val="005173BE"/>
    <w:rsid w:val="00517801"/>
    <w:rsid w:val="00517E83"/>
    <w:rsid w:val="00520202"/>
    <w:rsid w:val="00520435"/>
    <w:rsid w:val="00520D43"/>
    <w:rsid w:val="005216E5"/>
    <w:rsid w:val="00521AC9"/>
    <w:rsid w:val="00521C06"/>
    <w:rsid w:val="00521D2B"/>
    <w:rsid w:val="00521DD2"/>
    <w:rsid w:val="005224FE"/>
    <w:rsid w:val="00522C5E"/>
    <w:rsid w:val="00522EEA"/>
    <w:rsid w:val="005233FC"/>
    <w:rsid w:val="00523590"/>
    <w:rsid w:val="005239F1"/>
    <w:rsid w:val="00523F9A"/>
    <w:rsid w:val="0052434E"/>
    <w:rsid w:val="00524F01"/>
    <w:rsid w:val="00525221"/>
    <w:rsid w:val="00525D8B"/>
    <w:rsid w:val="00526C23"/>
    <w:rsid w:val="00526CD5"/>
    <w:rsid w:val="00526DE7"/>
    <w:rsid w:val="00527C55"/>
    <w:rsid w:val="00527C5C"/>
    <w:rsid w:val="00527E6E"/>
    <w:rsid w:val="00530366"/>
    <w:rsid w:val="00530541"/>
    <w:rsid w:val="0053069E"/>
    <w:rsid w:val="00530DD7"/>
    <w:rsid w:val="00530EF4"/>
    <w:rsid w:val="00530F7F"/>
    <w:rsid w:val="005318BD"/>
    <w:rsid w:val="00531A50"/>
    <w:rsid w:val="00531C4D"/>
    <w:rsid w:val="00531CF1"/>
    <w:rsid w:val="005320E5"/>
    <w:rsid w:val="0053221F"/>
    <w:rsid w:val="005324AE"/>
    <w:rsid w:val="005325CC"/>
    <w:rsid w:val="005325D4"/>
    <w:rsid w:val="005326D0"/>
    <w:rsid w:val="0053371A"/>
    <w:rsid w:val="00533814"/>
    <w:rsid w:val="00533AF1"/>
    <w:rsid w:val="00533EF0"/>
    <w:rsid w:val="0053400C"/>
    <w:rsid w:val="005346C7"/>
    <w:rsid w:val="00535206"/>
    <w:rsid w:val="00535926"/>
    <w:rsid w:val="00536111"/>
    <w:rsid w:val="005364D0"/>
    <w:rsid w:val="00536FAC"/>
    <w:rsid w:val="005400C8"/>
    <w:rsid w:val="00540351"/>
    <w:rsid w:val="00540BEE"/>
    <w:rsid w:val="0054164D"/>
    <w:rsid w:val="005416AE"/>
    <w:rsid w:val="00541EB9"/>
    <w:rsid w:val="00541FB8"/>
    <w:rsid w:val="00542356"/>
    <w:rsid w:val="00543486"/>
    <w:rsid w:val="005437C6"/>
    <w:rsid w:val="005438AC"/>
    <w:rsid w:val="00544B42"/>
    <w:rsid w:val="00545182"/>
    <w:rsid w:val="005456FD"/>
    <w:rsid w:val="00545A9D"/>
    <w:rsid w:val="00545F17"/>
    <w:rsid w:val="00546403"/>
    <w:rsid w:val="0054647E"/>
    <w:rsid w:val="005465EE"/>
    <w:rsid w:val="00546845"/>
    <w:rsid w:val="005472BB"/>
    <w:rsid w:val="005501A7"/>
    <w:rsid w:val="005506F6"/>
    <w:rsid w:val="00550887"/>
    <w:rsid w:val="005510F3"/>
    <w:rsid w:val="0055128A"/>
    <w:rsid w:val="00551CE2"/>
    <w:rsid w:val="0055207B"/>
    <w:rsid w:val="00552366"/>
    <w:rsid w:val="0055353B"/>
    <w:rsid w:val="005544AE"/>
    <w:rsid w:val="005545AD"/>
    <w:rsid w:val="0055478E"/>
    <w:rsid w:val="005547BD"/>
    <w:rsid w:val="00554CAA"/>
    <w:rsid w:val="00554DA7"/>
    <w:rsid w:val="0055577D"/>
    <w:rsid w:val="00555B15"/>
    <w:rsid w:val="00555DA8"/>
    <w:rsid w:val="005562C5"/>
    <w:rsid w:val="00556BBC"/>
    <w:rsid w:val="005574F1"/>
    <w:rsid w:val="0056072F"/>
    <w:rsid w:val="00560FFD"/>
    <w:rsid w:val="0056113B"/>
    <w:rsid w:val="005612F1"/>
    <w:rsid w:val="0056176D"/>
    <w:rsid w:val="00561ADE"/>
    <w:rsid w:val="00561E9B"/>
    <w:rsid w:val="00561F62"/>
    <w:rsid w:val="00562177"/>
    <w:rsid w:val="00562257"/>
    <w:rsid w:val="005628A5"/>
    <w:rsid w:val="00562AA1"/>
    <w:rsid w:val="00562AF9"/>
    <w:rsid w:val="0056339F"/>
    <w:rsid w:val="0056377B"/>
    <w:rsid w:val="005637D0"/>
    <w:rsid w:val="005639CE"/>
    <w:rsid w:val="005639DE"/>
    <w:rsid w:val="00563D12"/>
    <w:rsid w:val="00564652"/>
    <w:rsid w:val="005649DD"/>
    <w:rsid w:val="0056506B"/>
    <w:rsid w:val="005658E6"/>
    <w:rsid w:val="00565AAD"/>
    <w:rsid w:val="00566146"/>
    <w:rsid w:val="00566E1D"/>
    <w:rsid w:val="0056737A"/>
    <w:rsid w:val="00570ADB"/>
    <w:rsid w:val="00570CEC"/>
    <w:rsid w:val="00570FBE"/>
    <w:rsid w:val="00571870"/>
    <w:rsid w:val="005721DD"/>
    <w:rsid w:val="00572A07"/>
    <w:rsid w:val="005730A1"/>
    <w:rsid w:val="005731E5"/>
    <w:rsid w:val="0057337D"/>
    <w:rsid w:val="00573B5E"/>
    <w:rsid w:val="00573BEC"/>
    <w:rsid w:val="00573F3E"/>
    <w:rsid w:val="00574F42"/>
    <w:rsid w:val="0057532C"/>
    <w:rsid w:val="00575EE9"/>
    <w:rsid w:val="0057636D"/>
    <w:rsid w:val="0057677B"/>
    <w:rsid w:val="00577064"/>
    <w:rsid w:val="005772BC"/>
    <w:rsid w:val="005773CE"/>
    <w:rsid w:val="00577AC2"/>
    <w:rsid w:val="00577DCF"/>
    <w:rsid w:val="005801B4"/>
    <w:rsid w:val="00580964"/>
    <w:rsid w:val="00581544"/>
    <w:rsid w:val="00581E38"/>
    <w:rsid w:val="00582862"/>
    <w:rsid w:val="0058302F"/>
    <w:rsid w:val="00583344"/>
    <w:rsid w:val="00584832"/>
    <w:rsid w:val="005852A6"/>
    <w:rsid w:val="00585495"/>
    <w:rsid w:val="005863FF"/>
    <w:rsid w:val="005868A1"/>
    <w:rsid w:val="00586B08"/>
    <w:rsid w:val="00590154"/>
    <w:rsid w:val="005909FF"/>
    <w:rsid w:val="00590C1F"/>
    <w:rsid w:val="005910E1"/>
    <w:rsid w:val="005919FD"/>
    <w:rsid w:val="00591CB2"/>
    <w:rsid w:val="00591DCC"/>
    <w:rsid w:val="0059265A"/>
    <w:rsid w:val="00592CA9"/>
    <w:rsid w:val="0059334A"/>
    <w:rsid w:val="0059415E"/>
    <w:rsid w:val="005948CE"/>
    <w:rsid w:val="00594A38"/>
    <w:rsid w:val="00594BDE"/>
    <w:rsid w:val="00595365"/>
    <w:rsid w:val="005960CB"/>
    <w:rsid w:val="00596B3A"/>
    <w:rsid w:val="00596F3C"/>
    <w:rsid w:val="0059716B"/>
    <w:rsid w:val="0059772F"/>
    <w:rsid w:val="005A0631"/>
    <w:rsid w:val="005A21FE"/>
    <w:rsid w:val="005A23E9"/>
    <w:rsid w:val="005A24BE"/>
    <w:rsid w:val="005A257C"/>
    <w:rsid w:val="005A2AB5"/>
    <w:rsid w:val="005A31D2"/>
    <w:rsid w:val="005A3593"/>
    <w:rsid w:val="005A3DB5"/>
    <w:rsid w:val="005A40C2"/>
    <w:rsid w:val="005A456B"/>
    <w:rsid w:val="005A4941"/>
    <w:rsid w:val="005A5D9D"/>
    <w:rsid w:val="005A6C4A"/>
    <w:rsid w:val="005A7043"/>
    <w:rsid w:val="005A7428"/>
    <w:rsid w:val="005A7429"/>
    <w:rsid w:val="005A745C"/>
    <w:rsid w:val="005A7587"/>
    <w:rsid w:val="005A7C88"/>
    <w:rsid w:val="005A7D74"/>
    <w:rsid w:val="005A7D88"/>
    <w:rsid w:val="005B0800"/>
    <w:rsid w:val="005B14D5"/>
    <w:rsid w:val="005B18E9"/>
    <w:rsid w:val="005B239B"/>
    <w:rsid w:val="005B283F"/>
    <w:rsid w:val="005B2AF5"/>
    <w:rsid w:val="005B3224"/>
    <w:rsid w:val="005B346A"/>
    <w:rsid w:val="005B3611"/>
    <w:rsid w:val="005B363C"/>
    <w:rsid w:val="005B41F3"/>
    <w:rsid w:val="005B420C"/>
    <w:rsid w:val="005B443A"/>
    <w:rsid w:val="005B499A"/>
    <w:rsid w:val="005B5938"/>
    <w:rsid w:val="005B629D"/>
    <w:rsid w:val="005B6874"/>
    <w:rsid w:val="005B76C6"/>
    <w:rsid w:val="005B7718"/>
    <w:rsid w:val="005B7A79"/>
    <w:rsid w:val="005B7BF8"/>
    <w:rsid w:val="005B7FC0"/>
    <w:rsid w:val="005C067E"/>
    <w:rsid w:val="005C0C88"/>
    <w:rsid w:val="005C17DE"/>
    <w:rsid w:val="005C188A"/>
    <w:rsid w:val="005C1F11"/>
    <w:rsid w:val="005C2A3F"/>
    <w:rsid w:val="005C31FF"/>
    <w:rsid w:val="005C46B2"/>
    <w:rsid w:val="005C4CC1"/>
    <w:rsid w:val="005C50EA"/>
    <w:rsid w:val="005C7293"/>
    <w:rsid w:val="005C7F68"/>
    <w:rsid w:val="005D0529"/>
    <w:rsid w:val="005D0572"/>
    <w:rsid w:val="005D074B"/>
    <w:rsid w:val="005D16F9"/>
    <w:rsid w:val="005D1799"/>
    <w:rsid w:val="005D1F7F"/>
    <w:rsid w:val="005D23F1"/>
    <w:rsid w:val="005D2930"/>
    <w:rsid w:val="005D2DC0"/>
    <w:rsid w:val="005D2FD3"/>
    <w:rsid w:val="005D3025"/>
    <w:rsid w:val="005D3263"/>
    <w:rsid w:val="005D3662"/>
    <w:rsid w:val="005D3F1C"/>
    <w:rsid w:val="005D4123"/>
    <w:rsid w:val="005D4D55"/>
    <w:rsid w:val="005D4DCA"/>
    <w:rsid w:val="005D508A"/>
    <w:rsid w:val="005D5D57"/>
    <w:rsid w:val="005D6AD2"/>
    <w:rsid w:val="005D6EA2"/>
    <w:rsid w:val="005D710F"/>
    <w:rsid w:val="005E0B89"/>
    <w:rsid w:val="005E1021"/>
    <w:rsid w:val="005E139F"/>
    <w:rsid w:val="005E190C"/>
    <w:rsid w:val="005E20FD"/>
    <w:rsid w:val="005E2AB6"/>
    <w:rsid w:val="005E2ECD"/>
    <w:rsid w:val="005E3909"/>
    <w:rsid w:val="005E477E"/>
    <w:rsid w:val="005E4D08"/>
    <w:rsid w:val="005E5B5F"/>
    <w:rsid w:val="005E5CA7"/>
    <w:rsid w:val="005E621A"/>
    <w:rsid w:val="005E65F2"/>
    <w:rsid w:val="005E66BA"/>
    <w:rsid w:val="005E6881"/>
    <w:rsid w:val="005E6C49"/>
    <w:rsid w:val="005E6FFD"/>
    <w:rsid w:val="005E7254"/>
    <w:rsid w:val="005E7BCE"/>
    <w:rsid w:val="005E7CB4"/>
    <w:rsid w:val="005E7D6C"/>
    <w:rsid w:val="005E7FC1"/>
    <w:rsid w:val="005F00A0"/>
    <w:rsid w:val="005F019A"/>
    <w:rsid w:val="005F022F"/>
    <w:rsid w:val="005F0C6F"/>
    <w:rsid w:val="005F17E8"/>
    <w:rsid w:val="005F1BC3"/>
    <w:rsid w:val="005F1D4F"/>
    <w:rsid w:val="005F20DB"/>
    <w:rsid w:val="005F2703"/>
    <w:rsid w:val="005F285D"/>
    <w:rsid w:val="005F2AEF"/>
    <w:rsid w:val="005F35C0"/>
    <w:rsid w:val="005F379F"/>
    <w:rsid w:val="005F3A71"/>
    <w:rsid w:val="005F3BE6"/>
    <w:rsid w:val="005F3F00"/>
    <w:rsid w:val="005F3F06"/>
    <w:rsid w:val="005F481D"/>
    <w:rsid w:val="005F5727"/>
    <w:rsid w:val="005F58C2"/>
    <w:rsid w:val="005F59D9"/>
    <w:rsid w:val="005F65D0"/>
    <w:rsid w:val="005F6A7A"/>
    <w:rsid w:val="005F7217"/>
    <w:rsid w:val="005F7AD2"/>
    <w:rsid w:val="005F7BC8"/>
    <w:rsid w:val="005F7DF6"/>
    <w:rsid w:val="00600606"/>
    <w:rsid w:val="0060060D"/>
    <w:rsid w:val="00600AED"/>
    <w:rsid w:val="0060148A"/>
    <w:rsid w:val="006031A5"/>
    <w:rsid w:val="00603CE5"/>
    <w:rsid w:val="00604567"/>
    <w:rsid w:val="00604DDF"/>
    <w:rsid w:val="006061F9"/>
    <w:rsid w:val="006062F8"/>
    <w:rsid w:val="00606342"/>
    <w:rsid w:val="00606798"/>
    <w:rsid w:val="0060719D"/>
    <w:rsid w:val="006076BD"/>
    <w:rsid w:val="00607E9F"/>
    <w:rsid w:val="00607F48"/>
    <w:rsid w:val="006100D5"/>
    <w:rsid w:val="006101CA"/>
    <w:rsid w:val="0061057E"/>
    <w:rsid w:val="00610DD2"/>
    <w:rsid w:val="00610F7D"/>
    <w:rsid w:val="00611130"/>
    <w:rsid w:val="0061126F"/>
    <w:rsid w:val="0061140B"/>
    <w:rsid w:val="00611756"/>
    <w:rsid w:val="00611E6A"/>
    <w:rsid w:val="00611FFB"/>
    <w:rsid w:val="006126F7"/>
    <w:rsid w:val="00612995"/>
    <w:rsid w:val="0061323E"/>
    <w:rsid w:val="006138C4"/>
    <w:rsid w:val="006149EE"/>
    <w:rsid w:val="00615F6D"/>
    <w:rsid w:val="0061607D"/>
    <w:rsid w:val="00616E21"/>
    <w:rsid w:val="00617FB2"/>
    <w:rsid w:val="00620044"/>
    <w:rsid w:val="0062062B"/>
    <w:rsid w:val="00620630"/>
    <w:rsid w:val="00620F9E"/>
    <w:rsid w:val="00621787"/>
    <w:rsid w:val="006218E9"/>
    <w:rsid w:val="00621F4E"/>
    <w:rsid w:val="00622370"/>
    <w:rsid w:val="0062237C"/>
    <w:rsid w:val="00622601"/>
    <w:rsid w:val="006228E0"/>
    <w:rsid w:val="00622A72"/>
    <w:rsid w:val="00622DBD"/>
    <w:rsid w:val="00622FEE"/>
    <w:rsid w:val="006232AD"/>
    <w:rsid w:val="0062361E"/>
    <w:rsid w:val="006236C8"/>
    <w:rsid w:val="00623715"/>
    <w:rsid w:val="00623D61"/>
    <w:rsid w:val="00623D86"/>
    <w:rsid w:val="00623E12"/>
    <w:rsid w:val="00623F24"/>
    <w:rsid w:val="006240F8"/>
    <w:rsid w:val="00624961"/>
    <w:rsid w:val="00625F8A"/>
    <w:rsid w:val="006263F8"/>
    <w:rsid w:val="0062696E"/>
    <w:rsid w:val="00626B94"/>
    <w:rsid w:val="00626EC5"/>
    <w:rsid w:val="00626FAC"/>
    <w:rsid w:val="00626FB1"/>
    <w:rsid w:val="006270E9"/>
    <w:rsid w:val="00627419"/>
    <w:rsid w:val="00627491"/>
    <w:rsid w:val="00627AB8"/>
    <w:rsid w:val="00627BEB"/>
    <w:rsid w:val="006305F6"/>
    <w:rsid w:val="006308CB"/>
    <w:rsid w:val="00630AE8"/>
    <w:rsid w:val="00631522"/>
    <w:rsid w:val="00631E88"/>
    <w:rsid w:val="00631F9D"/>
    <w:rsid w:val="00632DCE"/>
    <w:rsid w:val="00633780"/>
    <w:rsid w:val="0063379C"/>
    <w:rsid w:val="006345D4"/>
    <w:rsid w:val="00634EEE"/>
    <w:rsid w:val="006352A8"/>
    <w:rsid w:val="00636059"/>
    <w:rsid w:val="00637416"/>
    <w:rsid w:val="00637816"/>
    <w:rsid w:val="00637927"/>
    <w:rsid w:val="00637B1B"/>
    <w:rsid w:val="00637B46"/>
    <w:rsid w:val="0064025C"/>
    <w:rsid w:val="006404D5"/>
    <w:rsid w:val="006407C7"/>
    <w:rsid w:val="00640F76"/>
    <w:rsid w:val="00641762"/>
    <w:rsid w:val="0064226B"/>
    <w:rsid w:val="00642287"/>
    <w:rsid w:val="0064325F"/>
    <w:rsid w:val="0064374F"/>
    <w:rsid w:val="006438CC"/>
    <w:rsid w:val="00643AC4"/>
    <w:rsid w:val="00643DFD"/>
    <w:rsid w:val="006446F4"/>
    <w:rsid w:val="00644955"/>
    <w:rsid w:val="00644D46"/>
    <w:rsid w:val="00644D4E"/>
    <w:rsid w:val="00645161"/>
    <w:rsid w:val="0064535A"/>
    <w:rsid w:val="006455B2"/>
    <w:rsid w:val="006458F3"/>
    <w:rsid w:val="00646081"/>
    <w:rsid w:val="006468BB"/>
    <w:rsid w:val="00646DB1"/>
    <w:rsid w:val="0064739C"/>
    <w:rsid w:val="0064747E"/>
    <w:rsid w:val="006479E8"/>
    <w:rsid w:val="00647BD6"/>
    <w:rsid w:val="0065082B"/>
    <w:rsid w:val="00650F1E"/>
    <w:rsid w:val="006511A7"/>
    <w:rsid w:val="006511DF"/>
    <w:rsid w:val="00651646"/>
    <w:rsid w:val="00651671"/>
    <w:rsid w:val="00651C58"/>
    <w:rsid w:val="00651D08"/>
    <w:rsid w:val="00652D9A"/>
    <w:rsid w:val="00652E20"/>
    <w:rsid w:val="00652F6B"/>
    <w:rsid w:val="006533DC"/>
    <w:rsid w:val="00653854"/>
    <w:rsid w:val="00653E50"/>
    <w:rsid w:val="0065417C"/>
    <w:rsid w:val="00654305"/>
    <w:rsid w:val="006548F4"/>
    <w:rsid w:val="00654D9B"/>
    <w:rsid w:val="00654E59"/>
    <w:rsid w:val="006553E8"/>
    <w:rsid w:val="00655565"/>
    <w:rsid w:val="006562EA"/>
    <w:rsid w:val="00657143"/>
    <w:rsid w:val="0066015C"/>
    <w:rsid w:val="006602BF"/>
    <w:rsid w:val="00660AA5"/>
    <w:rsid w:val="0066107D"/>
    <w:rsid w:val="00661D1B"/>
    <w:rsid w:val="00661FB0"/>
    <w:rsid w:val="00662490"/>
    <w:rsid w:val="00662620"/>
    <w:rsid w:val="0066274F"/>
    <w:rsid w:val="0066276D"/>
    <w:rsid w:val="00662AE6"/>
    <w:rsid w:val="00662C6E"/>
    <w:rsid w:val="006635D3"/>
    <w:rsid w:val="00664418"/>
    <w:rsid w:val="006649D6"/>
    <w:rsid w:val="00665343"/>
    <w:rsid w:val="006653CF"/>
    <w:rsid w:val="006654D2"/>
    <w:rsid w:val="00665657"/>
    <w:rsid w:val="00665AD2"/>
    <w:rsid w:val="00665B11"/>
    <w:rsid w:val="00665CC7"/>
    <w:rsid w:val="0066628D"/>
    <w:rsid w:val="006662B5"/>
    <w:rsid w:val="00666419"/>
    <w:rsid w:val="00667343"/>
    <w:rsid w:val="0067019A"/>
    <w:rsid w:val="00670659"/>
    <w:rsid w:val="00670A74"/>
    <w:rsid w:val="00670F3D"/>
    <w:rsid w:val="00670F9D"/>
    <w:rsid w:val="00671463"/>
    <w:rsid w:val="00671513"/>
    <w:rsid w:val="0067156D"/>
    <w:rsid w:val="006719FD"/>
    <w:rsid w:val="00671AB6"/>
    <w:rsid w:val="006720EB"/>
    <w:rsid w:val="00672BE9"/>
    <w:rsid w:val="0067365A"/>
    <w:rsid w:val="00673842"/>
    <w:rsid w:val="00674743"/>
    <w:rsid w:val="0067611A"/>
    <w:rsid w:val="0067632A"/>
    <w:rsid w:val="006768EE"/>
    <w:rsid w:val="00676E66"/>
    <w:rsid w:val="00676ED4"/>
    <w:rsid w:val="0067759D"/>
    <w:rsid w:val="00677844"/>
    <w:rsid w:val="00677873"/>
    <w:rsid w:val="0068004D"/>
    <w:rsid w:val="00680678"/>
    <w:rsid w:val="00680A42"/>
    <w:rsid w:val="00680B3A"/>
    <w:rsid w:val="00680CBC"/>
    <w:rsid w:val="00681C55"/>
    <w:rsid w:val="00681D81"/>
    <w:rsid w:val="00681E2C"/>
    <w:rsid w:val="006823DE"/>
    <w:rsid w:val="006826A2"/>
    <w:rsid w:val="006826D2"/>
    <w:rsid w:val="00682B26"/>
    <w:rsid w:val="00682B36"/>
    <w:rsid w:val="00682FDC"/>
    <w:rsid w:val="00683360"/>
    <w:rsid w:val="00683515"/>
    <w:rsid w:val="00683592"/>
    <w:rsid w:val="006836CD"/>
    <w:rsid w:val="0068404E"/>
    <w:rsid w:val="00684617"/>
    <w:rsid w:val="0068473B"/>
    <w:rsid w:val="00684844"/>
    <w:rsid w:val="00684C73"/>
    <w:rsid w:val="006862F8"/>
    <w:rsid w:val="006867BC"/>
    <w:rsid w:val="00686AA9"/>
    <w:rsid w:val="00686AC0"/>
    <w:rsid w:val="00686E78"/>
    <w:rsid w:val="00687758"/>
    <w:rsid w:val="00687B2B"/>
    <w:rsid w:val="00687B2C"/>
    <w:rsid w:val="00690158"/>
    <w:rsid w:val="00690479"/>
    <w:rsid w:val="0069055E"/>
    <w:rsid w:val="0069066B"/>
    <w:rsid w:val="00690E41"/>
    <w:rsid w:val="006910A2"/>
    <w:rsid w:val="006911D1"/>
    <w:rsid w:val="00691685"/>
    <w:rsid w:val="0069213D"/>
    <w:rsid w:val="00692FA5"/>
    <w:rsid w:val="0069319B"/>
    <w:rsid w:val="0069326A"/>
    <w:rsid w:val="006933A7"/>
    <w:rsid w:val="00693C69"/>
    <w:rsid w:val="006940E8"/>
    <w:rsid w:val="00695398"/>
    <w:rsid w:val="0069555A"/>
    <w:rsid w:val="006955A4"/>
    <w:rsid w:val="00695843"/>
    <w:rsid w:val="0069627B"/>
    <w:rsid w:val="00696355"/>
    <w:rsid w:val="006964AB"/>
    <w:rsid w:val="006964D2"/>
    <w:rsid w:val="0069652A"/>
    <w:rsid w:val="0069703F"/>
    <w:rsid w:val="006973BD"/>
    <w:rsid w:val="006974BB"/>
    <w:rsid w:val="006974E8"/>
    <w:rsid w:val="00697586"/>
    <w:rsid w:val="00697BC6"/>
    <w:rsid w:val="00697CDE"/>
    <w:rsid w:val="006A02FD"/>
    <w:rsid w:val="006A0646"/>
    <w:rsid w:val="006A1660"/>
    <w:rsid w:val="006A17C0"/>
    <w:rsid w:val="006A1DC3"/>
    <w:rsid w:val="006A1F2E"/>
    <w:rsid w:val="006A2330"/>
    <w:rsid w:val="006A251F"/>
    <w:rsid w:val="006A25A4"/>
    <w:rsid w:val="006A42D8"/>
    <w:rsid w:val="006A4FBF"/>
    <w:rsid w:val="006A543C"/>
    <w:rsid w:val="006A5645"/>
    <w:rsid w:val="006A57EE"/>
    <w:rsid w:val="006A5BF3"/>
    <w:rsid w:val="006A5EBA"/>
    <w:rsid w:val="006A60F8"/>
    <w:rsid w:val="006A61EC"/>
    <w:rsid w:val="006A6A42"/>
    <w:rsid w:val="006A72FB"/>
    <w:rsid w:val="006A7986"/>
    <w:rsid w:val="006A7B13"/>
    <w:rsid w:val="006B0DF9"/>
    <w:rsid w:val="006B1273"/>
    <w:rsid w:val="006B1601"/>
    <w:rsid w:val="006B1F97"/>
    <w:rsid w:val="006B2F9E"/>
    <w:rsid w:val="006B3C86"/>
    <w:rsid w:val="006B3D6F"/>
    <w:rsid w:val="006B4756"/>
    <w:rsid w:val="006B4BE1"/>
    <w:rsid w:val="006B504D"/>
    <w:rsid w:val="006B52D3"/>
    <w:rsid w:val="006B557E"/>
    <w:rsid w:val="006B5974"/>
    <w:rsid w:val="006B5CB9"/>
    <w:rsid w:val="006B6699"/>
    <w:rsid w:val="006B75AD"/>
    <w:rsid w:val="006B7C40"/>
    <w:rsid w:val="006C027F"/>
    <w:rsid w:val="006C1302"/>
    <w:rsid w:val="006C132C"/>
    <w:rsid w:val="006C17B4"/>
    <w:rsid w:val="006C1BE8"/>
    <w:rsid w:val="006C2187"/>
    <w:rsid w:val="006C21DE"/>
    <w:rsid w:val="006C2359"/>
    <w:rsid w:val="006C25E5"/>
    <w:rsid w:val="006C34E8"/>
    <w:rsid w:val="006C3CD2"/>
    <w:rsid w:val="006C47BF"/>
    <w:rsid w:val="006C51DE"/>
    <w:rsid w:val="006C5307"/>
    <w:rsid w:val="006C5427"/>
    <w:rsid w:val="006C5AEE"/>
    <w:rsid w:val="006C5ECD"/>
    <w:rsid w:val="006C606B"/>
    <w:rsid w:val="006C6E16"/>
    <w:rsid w:val="006C71EF"/>
    <w:rsid w:val="006C7450"/>
    <w:rsid w:val="006C7639"/>
    <w:rsid w:val="006C76BF"/>
    <w:rsid w:val="006D02C2"/>
    <w:rsid w:val="006D0D7F"/>
    <w:rsid w:val="006D0DF6"/>
    <w:rsid w:val="006D1809"/>
    <w:rsid w:val="006D197D"/>
    <w:rsid w:val="006D1D1D"/>
    <w:rsid w:val="006D284C"/>
    <w:rsid w:val="006D2F4C"/>
    <w:rsid w:val="006D3018"/>
    <w:rsid w:val="006D30B0"/>
    <w:rsid w:val="006D3659"/>
    <w:rsid w:val="006D3756"/>
    <w:rsid w:val="006D3CF2"/>
    <w:rsid w:val="006D3DD6"/>
    <w:rsid w:val="006D3F58"/>
    <w:rsid w:val="006D4353"/>
    <w:rsid w:val="006D54CA"/>
    <w:rsid w:val="006D57E6"/>
    <w:rsid w:val="006D6A81"/>
    <w:rsid w:val="006D6BF3"/>
    <w:rsid w:val="006D70C0"/>
    <w:rsid w:val="006D76E8"/>
    <w:rsid w:val="006D7761"/>
    <w:rsid w:val="006D7DEE"/>
    <w:rsid w:val="006E0C92"/>
    <w:rsid w:val="006E1222"/>
    <w:rsid w:val="006E18C4"/>
    <w:rsid w:val="006E1CB8"/>
    <w:rsid w:val="006E2156"/>
    <w:rsid w:val="006E2777"/>
    <w:rsid w:val="006E277A"/>
    <w:rsid w:val="006E296D"/>
    <w:rsid w:val="006E2B6F"/>
    <w:rsid w:val="006E2F1C"/>
    <w:rsid w:val="006E333E"/>
    <w:rsid w:val="006E446A"/>
    <w:rsid w:val="006E499D"/>
    <w:rsid w:val="006E4AC8"/>
    <w:rsid w:val="006E53FD"/>
    <w:rsid w:val="006E5FA4"/>
    <w:rsid w:val="006E6152"/>
    <w:rsid w:val="006E622F"/>
    <w:rsid w:val="006E65A5"/>
    <w:rsid w:val="006F04F6"/>
    <w:rsid w:val="006F08DD"/>
    <w:rsid w:val="006F179F"/>
    <w:rsid w:val="006F2096"/>
    <w:rsid w:val="006F21D4"/>
    <w:rsid w:val="006F27F7"/>
    <w:rsid w:val="006F2A05"/>
    <w:rsid w:val="006F2D16"/>
    <w:rsid w:val="006F3493"/>
    <w:rsid w:val="006F39F7"/>
    <w:rsid w:val="006F3EC4"/>
    <w:rsid w:val="006F402F"/>
    <w:rsid w:val="006F42AF"/>
    <w:rsid w:val="006F4591"/>
    <w:rsid w:val="006F4682"/>
    <w:rsid w:val="006F4712"/>
    <w:rsid w:val="006F57FB"/>
    <w:rsid w:val="006F5B6B"/>
    <w:rsid w:val="006F63D8"/>
    <w:rsid w:val="006F63F9"/>
    <w:rsid w:val="006F676D"/>
    <w:rsid w:val="006F6C46"/>
    <w:rsid w:val="006F6ED3"/>
    <w:rsid w:val="007008C7"/>
    <w:rsid w:val="00700CB2"/>
    <w:rsid w:val="00701325"/>
    <w:rsid w:val="00703A4B"/>
    <w:rsid w:val="00703B42"/>
    <w:rsid w:val="007042F2"/>
    <w:rsid w:val="00704706"/>
    <w:rsid w:val="00704E65"/>
    <w:rsid w:val="00704EF9"/>
    <w:rsid w:val="00705E65"/>
    <w:rsid w:val="00706125"/>
    <w:rsid w:val="00706704"/>
    <w:rsid w:val="00707342"/>
    <w:rsid w:val="007075EF"/>
    <w:rsid w:val="0070790A"/>
    <w:rsid w:val="00707A3A"/>
    <w:rsid w:val="00707D0D"/>
    <w:rsid w:val="00710C58"/>
    <w:rsid w:val="00710C89"/>
    <w:rsid w:val="00710CEF"/>
    <w:rsid w:val="0071133B"/>
    <w:rsid w:val="00711973"/>
    <w:rsid w:val="00711C9B"/>
    <w:rsid w:val="00711CF0"/>
    <w:rsid w:val="00711FD1"/>
    <w:rsid w:val="0071239C"/>
    <w:rsid w:val="00712C39"/>
    <w:rsid w:val="00712C85"/>
    <w:rsid w:val="007149CB"/>
    <w:rsid w:val="00714ED3"/>
    <w:rsid w:val="007165CE"/>
    <w:rsid w:val="00716BA9"/>
    <w:rsid w:val="00716C21"/>
    <w:rsid w:val="00716F49"/>
    <w:rsid w:val="007172C1"/>
    <w:rsid w:val="007175DD"/>
    <w:rsid w:val="00717F63"/>
    <w:rsid w:val="007209C0"/>
    <w:rsid w:val="00720A95"/>
    <w:rsid w:val="00720DC7"/>
    <w:rsid w:val="0072110B"/>
    <w:rsid w:val="00721AC6"/>
    <w:rsid w:val="00722E46"/>
    <w:rsid w:val="00722F3B"/>
    <w:rsid w:val="00723081"/>
    <w:rsid w:val="00723166"/>
    <w:rsid w:val="00723592"/>
    <w:rsid w:val="007235AE"/>
    <w:rsid w:val="0072390E"/>
    <w:rsid w:val="00723B22"/>
    <w:rsid w:val="00723FEA"/>
    <w:rsid w:val="00724474"/>
    <w:rsid w:val="007245D7"/>
    <w:rsid w:val="007250FA"/>
    <w:rsid w:val="007251C0"/>
    <w:rsid w:val="00725917"/>
    <w:rsid w:val="007259C6"/>
    <w:rsid w:val="00725B0B"/>
    <w:rsid w:val="0072634C"/>
    <w:rsid w:val="00726A13"/>
    <w:rsid w:val="00726A57"/>
    <w:rsid w:val="00727298"/>
    <w:rsid w:val="007300D9"/>
    <w:rsid w:val="007306FC"/>
    <w:rsid w:val="00730B50"/>
    <w:rsid w:val="00730E64"/>
    <w:rsid w:val="00730F27"/>
    <w:rsid w:val="00730FD6"/>
    <w:rsid w:val="00731069"/>
    <w:rsid w:val="0073142A"/>
    <w:rsid w:val="007317FC"/>
    <w:rsid w:val="00731E80"/>
    <w:rsid w:val="0073279E"/>
    <w:rsid w:val="00732968"/>
    <w:rsid w:val="00733257"/>
    <w:rsid w:val="0073365E"/>
    <w:rsid w:val="00733950"/>
    <w:rsid w:val="00733B42"/>
    <w:rsid w:val="00733D81"/>
    <w:rsid w:val="007346A9"/>
    <w:rsid w:val="0073478C"/>
    <w:rsid w:val="00735C45"/>
    <w:rsid w:val="00735C9A"/>
    <w:rsid w:val="00735FE4"/>
    <w:rsid w:val="00736282"/>
    <w:rsid w:val="00736755"/>
    <w:rsid w:val="007369B8"/>
    <w:rsid w:val="00736E35"/>
    <w:rsid w:val="007374E7"/>
    <w:rsid w:val="00737E24"/>
    <w:rsid w:val="007400FF"/>
    <w:rsid w:val="00740398"/>
    <w:rsid w:val="007404DD"/>
    <w:rsid w:val="00741320"/>
    <w:rsid w:val="00741620"/>
    <w:rsid w:val="0074190A"/>
    <w:rsid w:val="007420B3"/>
    <w:rsid w:val="007422A6"/>
    <w:rsid w:val="00742D5E"/>
    <w:rsid w:val="00744194"/>
    <w:rsid w:val="007445DC"/>
    <w:rsid w:val="0074461D"/>
    <w:rsid w:val="0074495B"/>
    <w:rsid w:val="00744A83"/>
    <w:rsid w:val="0074513D"/>
    <w:rsid w:val="00745816"/>
    <w:rsid w:val="00745820"/>
    <w:rsid w:val="007458FA"/>
    <w:rsid w:val="00745D16"/>
    <w:rsid w:val="0074651B"/>
    <w:rsid w:val="00746A91"/>
    <w:rsid w:val="00746F75"/>
    <w:rsid w:val="00747896"/>
    <w:rsid w:val="007478EE"/>
    <w:rsid w:val="00747E4D"/>
    <w:rsid w:val="007501E7"/>
    <w:rsid w:val="00750EF8"/>
    <w:rsid w:val="00750F7F"/>
    <w:rsid w:val="007513AF"/>
    <w:rsid w:val="00751510"/>
    <w:rsid w:val="007525FF"/>
    <w:rsid w:val="00753075"/>
    <w:rsid w:val="00753D88"/>
    <w:rsid w:val="00753E65"/>
    <w:rsid w:val="007541D6"/>
    <w:rsid w:val="007542D9"/>
    <w:rsid w:val="007548F6"/>
    <w:rsid w:val="007554C7"/>
    <w:rsid w:val="007559EC"/>
    <w:rsid w:val="00755EF5"/>
    <w:rsid w:val="00756314"/>
    <w:rsid w:val="00756824"/>
    <w:rsid w:val="00756D8C"/>
    <w:rsid w:val="00757E82"/>
    <w:rsid w:val="007600F4"/>
    <w:rsid w:val="007600F9"/>
    <w:rsid w:val="007608C9"/>
    <w:rsid w:val="007610AE"/>
    <w:rsid w:val="00761183"/>
    <w:rsid w:val="007612C9"/>
    <w:rsid w:val="00761327"/>
    <w:rsid w:val="00761905"/>
    <w:rsid w:val="00761C47"/>
    <w:rsid w:val="00761EF0"/>
    <w:rsid w:val="0076232B"/>
    <w:rsid w:val="00762A70"/>
    <w:rsid w:val="00762CE7"/>
    <w:rsid w:val="00763382"/>
    <w:rsid w:val="00764750"/>
    <w:rsid w:val="00764F02"/>
    <w:rsid w:val="00765359"/>
    <w:rsid w:val="007653AC"/>
    <w:rsid w:val="0076549A"/>
    <w:rsid w:val="0076551A"/>
    <w:rsid w:val="007655C1"/>
    <w:rsid w:val="0076578A"/>
    <w:rsid w:val="0076580D"/>
    <w:rsid w:val="007659A8"/>
    <w:rsid w:val="00765DBC"/>
    <w:rsid w:val="00765F56"/>
    <w:rsid w:val="00766016"/>
    <w:rsid w:val="0076601F"/>
    <w:rsid w:val="00766197"/>
    <w:rsid w:val="00766247"/>
    <w:rsid w:val="007666E1"/>
    <w:rsid w:val="00766FAF"/>
    <w:rsid w:val="00766FEB"/>
    <w:rsid w:val="0076764B"/>
    <w:rsid w:val="007676E7"/>
    <w:rsid w:val="00767DB2"/>
    <w:rsid w:val="007701E8"/>
    <w:rsid w:val="00770211"/>
    <w:rsid w:val="007704CC"/>
    <w:rsid w:val="00770E37"/>
    <w:rsid w:val="00770FD9"/>
    <w:rsid w:val="00771066"/>
    <w:rsid w:val="007713B1"/>
    <w:rsid w:val="0077146E"/>
    <w:rsid w:val="0077153F"/>
    <w:rsid w:val="00771F7A"/>
    <w:rsid w:val="00772572"/>
    <w:rsid w:val="00772804"/>
    <w:rsid w:val="007734C7"/>
    <w:rsid w:val="007738AD"/>
    <w:rsid w:val="00773FA9"/>
    <w:rsid w:val="00774593"/>
    <w:rsid w:val="007747E5"/>
    <w:rsid w:val="00774B25"/>
    <w:rsid w:val="007761B1"/>
    <w:rsid w:val="007769F7"/>
    <w:rsid w:val="00776DC3"/>
    <w:rsid w:val="00776F41"/>
    <w:rsid w:val="00777E4B"/>
    <w:rsid w:val="00780243"/>
    <w:rsid w:val="00780289"/>
    <w:rsid w:val="007804B8"/>
    <w:rsid w:val="00780607"/>
    <w:rsid w:val="0078094E"/>
    <w:rsid w:val="00780CE1"/>
    <w:rsid w:val="00780DE8"/>
    <w:rsid w:val="00781426"/>
    <w:rsid w:val="00781C37"/>
    <w:rsid w:val="007821FF"/>
    <w:rsid w:val="007830E5"/>
    <w:rsid w:val="00783797"/>
    <w:rsid w:val="00783F94"/>
    <w:rsid w:val="00784A3B"/>
    <w:rsid w:val="00785775"/>
    <w:rsid w:val="00785BE6"/>
    <w:rsid w:val="00785DB6"/>
    <w:rsid w:val="00786B19"/>
    <w:rsid w:val="00786E7B"/>
    <w:rsid w:val="00787224"/>
    <w:rsid w:val="007872B3"/>
    <w:rsid w:val="007900CE"/>
    <w:rsid w:val="007901B2"/>
    <w:rsid w:val="00790A56"/>
    <w:rsid w:val="00790EBB"/>
    <w:rsid w:val="00791256"/>
    <w:rsid w:val="007913A5"/>
    <w:rsid w:val="0079175D"/>
    <w:rsid w:val="007926D7"/>
    <w:rsid w:val="0079371F"/>
    <w:rsid w:val="007938AE"/>
    <w:rsid w:val="007940E5"/>
    <w:rsid w:val="00794132"/>
    <w:rsid w:val="007945DA"/>
    <w:rsid w:val="0079482C"/>
    <w:rsid w:val="0079586D"/>
    <w:rsid w:val="00795A54"/>
    <w:rsid w:val="007962B8"/>
    <w:rsid w:val="00796325"/>
    <w:rsid w:val="00796E38"/>
    <w:rsid w:val="0079716E"/>
    <w:rsid w:val="007A003A"/>
    <w:rsid w:val="007A0177"/>
    <w:rsid w:val="007A04DE"/>
    <w:rsid w:val="007A0F49"/>
    <w:rsid w:val="007A16B4"/>
    <w:rsid w:val="007A1CC0"/>
    <w:rsid w:val="007A2538"/>
    <w:rsid w:val="007A258E"/>
    <w:rsid w:val="007A284A"/>
    <w:rsid w:val="007A2BDC"/>
    <w:rsid w:val="007A2C1D"/>
    <w:rsid w:val="007A2D65"/>
    <w:rsid w:val="007A2F7D"/>
    <w:rsid w:val="007A31BB"/>
    <w:rsid w:val="007A3AF8"/>
    <w:rsid w:val="007A4B48"/>
    <w:rsid w:val="007A51F1"/>
    <w:rsid w:val="007A5436"/>
    <w:rsid w:val="007A6184"/>
    <w:rsid w:val="007A68F5"/>
    <w:rsid w:val="007A6A51"/>
    <w:rsid w:val="007A7664"/>
    <w:rsid w:val="007A77D3"/>
    <w:rsid w:val="007A7C0A"/>
    <w:rsid w:val="007A7F9E"/>
    <w:rsid w:val="007B15F8"/>
    <w:rsid w:val="007B16F5"/>
    <w:rsid w:val="007B1F43"/>
    <w:rsid w:val="007B236E"/>
    <w:rsid w:val="007B2982"/>
    <w:rsid w:val="007B29D3"/>
    <w:rsid w:val="007B2DE3"/>
    <w:rsid w:val="007B30FA"/>
    <w:rsid w:val="007B33FA"/>
    <w:rsid w:val="007B353D"/>
    <w:rsid w:val="007B3DC0"/>
    <w:rsid w:val="007B4E27"/>
    <w:rsid w:val="007B50DF"/>
    <w:rsid w:val="007B5FEB"/>
    <w:rsid w:val="007B5FF9"/>
    <w:rsid w:val="007B6170"/>
    <w:rsid w:val="007B7268"/>
    <w:rsid w:val="007B78D8"/>
    <w:rsid w:val="007B7C91"/>
    <w:rsid w:val="007C084C"/>
    <w:rsid w:val="007C0E24"/>
    <w:rsid w:val="007C0E7F"/>
    <w:rsid w:val="007C0EC9"/>
    <w:rsid w:val="007C2A89"/>
    <w:rsid w:val="007C2E6B"/>
    <w:rsid w:val="007C3036"/>
    <w:rsid w:val="007C3187"/>
    <w:rsid w:val="007C39E1"/>
    <w:rsid w:val="007C3D4E"/>
    <w:rsid w:val="007C3FC5"/>
    <w:rsid w:val="007C417F"/>
    <w:rsid w:val="007C49B0"/>
    <w:rsid w:val="007C4E63"/>
    <w:rsid w:val="007C4F20"/>
    <w:rsid w:val="007C5DBD"/>
    <w:rsid w:val="007C629E"/>
    <w:rsid w:val="007C6A4C"/>
    <w:rsid w:val="007C76F2"/>
    <w:rsid w:val="007C78D2"/>
    <w:rsid w:val="007C7C82"/>
    <w:rsid w:val="007C7FC3"/>
    <w:rsid w:val="007D08F6"/>
    <w:rsid w:val="007D0C57"/>
    <w:rsid w:val="007D10ED"/>
    <w:rsid w:val="007D1293"/>
    <w:rsid w:val="007D2667"/>
    <w:rsid w:val="007D3640"/>
    <w:rsid w:val="007D3828"/>
    <w:rsid w:val="007D49E9"/>
    <w:rsid w:val="007D4D97"/>
    <w:rsid w:val="007D5D25"/>
    <w:rsid w:val="007D666D"/>
    <w:rsid w:val="007D6A13"/>
    <w:rsid w:val="007D7581"/>
    <w:rsid w:val="007D75BC"/>
    <w:rsid w:val="007D7BE8"/>
    <w:rsid w:val="007D7D00"/>
    <w:rsid w:val="007E1633"/>
    <w:rsid w:val="007E1B1E"/>
    <w:rsid w:val="007E1E68"/>
    <w:rsid w:val="007E2680"/>
    <w:rsid w:val="007E322C"/>
    <w:rsid w:val="007E37C4"/>
    <w:rsid w:val="007E38D0"/>
    <w:rsid w:val="007E45B0"/>
    <w:rsid w:val="007E487C"/>
    <w:rsid w:val="007E5FD8"/>
    <w:rsid w:val="007E6C5D"/>
    <w:rsid w:val="007E7071"/>
    <w:rsid w:val="007E718E"/>
    <w:rsid w:val="007E7C36"/>
    <w:rsid w:val="007F00D4"/>
    <w:rsid w:val="007F0622"/>
    <w:rsid w:val="007F07B6"/>
    <w:rsid w:val="007F1276"/>
    <w:rsid w:val="007F1576"/>
    <w:rsid w:val="007F1989"/>
    <w:rsid w:val="007F2120"/>
    <w:rsid w:val="007F25C5"/>
    <w:rsid w:val="007F3AD5"/>
    <w:rsid w:val="007F3D21"/>
    <w:rsid w:val="007F4221"/>
    <w:rsid w:val="007F480A"/>
    <w:rsid w:val="007F4A3D"/>
    <w:rsid w:val="007F5808"/>
    <w:rsid w:val="007F5814"/>
    <w:rsid w:val="007F5A71"/>
    <w:rsid w:val="007F6784"/>
    <w:rsid w:val="007F6EF0"/>
    <w:rsid w:val="007F7114"/>
    <w:rsid w:val="007F71D1"/>
    <w:rsid w:val="007F79DA"/>
    <w:rsid w:val="0080054A"/>
    <w:rsid w:val="0080055A"/>
    <w:rsid w:val="0080118C"/>
    <w:rsid w:val="00801888"/>
    <w:rsid w:val="008019FB"/>
    <w:rsid w:val="00801F55"/>
    <w:rsid w:val="0080293F"/>
    <w:rsid w:val="008029ED"/>
    <w:rsid w:val="008031A6"/>
    <w:rsid w:val="00803F40"/>
    <w:rsid w:val="008045DE"/>
    <w:rsid w:val="00804B27"/>
    <w:rsid w:val="00804D2B"/>
    <w:rsid w:val="00804F24"/>
    <w:rsid w:val="008053F1"/>
    <w:rsid w:val="008057F2"/>
    <w:rsid w:val="00805C14"/>
    <w:rsid w:val="00806174"/>
    <w:rsid w:val="00806670"/>
    <w:rsid w:val="00806FE0"/>
    <w:rsid w:val="0080708A"/>
    <w:rsid w:val="0080742D"/>
    <w:rsid w:val="00807530"/>
    <w:rsid w:val="0080763B"/>
    <w:rsid w:val="008105E3"/>
    <w:rsid w:val="00810755"/>
    <w:rsid w:val="00810C07"/>
    <w:rsid w:val="0081124D"/>
    <w:rsid w:val="00811727"/>
    <w:rsid w:val="00811D39"/>
    <w:rsid w:val="00811E68"/>
    <w:rsid w:val="00811E99"/>
    <w:rsid w:val="008123C3"/>
    <w:rsid w:val="00812BA9"/>
    <w:rsid w:val="008135EB"/>
    <w:rsid w:val="0081388D"/>
    <w:rsid w:val="00813CDD"/>
    <w:rsid w:val="00813E80"/>
    <w:rsid w:val="00814397"/>
    <w:rsid w:val="00814D53"/>
    <w:rsid w:val="0081529D"/>
    <w:rsid w:val="00815455"/>
    <w:rsid w:val="00815953"/>
    <w:rsid w:val="00815B1D"/>
    <w:rsid w:val="008160BB"/>
    <w:rsid w:val="0081773F"/>
    <w:rsid w:val="00817DA6"/>
    <w:rsid w:val="008207C5"/>
    <w:rsid w:val="00820A62"/>
    <w:rsid w:val="008212A6"/>
    <w:rsid w:val="00821E08"/>
    <w:rsid w:val="0082314E"/>
    <w:rsid w:val="00823783"/>
    <w:rsid w:val="00823816"/>
    <w:rsid w:val="00823926"/>
    <w:rsid w:val="00824954"/>
    <w:rsid w:val="00824D54"/>
    <w:rsid w:val="00824D65"/>
    <w:rsid w:val="00824FA2"/>
    <w:rsid w:val="00825690"/>
    <w:rsid w:val="00825791"/>
    <w:rsid w:val="00825F5E"/>
    <w:rsid w:val="00826285"/>
    <w:rsid w:val="008268D1"/>
    <w:rsid w:val="00826FB9"/>
    <w:rsid w:val="00827385"/>
    <w:rsid w:val="008276A7"/>
    <w:rsid w:val="00827C80"/>
    <w:rsid w:val="00827E19"/>
    <w:rsid w:val="00827EA2"/>
    <w:rsid w:val="00830F09"/>
    <w:rsid w:val="0083136C"/>
    <w:rsid w:val="008316C2"/>
    <w:rsid w:val="00831A8D"/>
    <w:rsid w:val="00831D50"/>
    <w:rsid w:val="00831DE7"/>
    <w:rsid w:val="00831E76"/>
    <w:rsid w:val="0083238B"/>
    <w:rsid w:val="008323F2"/>
    <w:rsid w:val="008326BF"/>
    <w:rsid w:val="008328A9"/>
    <w:rsid w:val="00832986"/>
    <w:rsid w:val="00833366"/>
    <w:rsid w:val="008337EC"/>
    <w:rsid w:val="00834A1E"/>
    <w:rsid w:val="00835A17"/>
    <w:rsid w:val="0083644E"/>
    <w:rsid w:val="00836563"/>
    <w:rsid w:val="008374E0"/>
    <w:rsid w:val="008378B3"/>
    <w:rsid w:val="00837BAB"/>
    <w:rsid w:val="0084018A"/>
    <w:rsid w:val="00840213"/>
    <w:rsid w:val="0084139E"/>
    <w:rsid w:val="00841B65"/>
    <w:rsid w:val="00841DC9"/>
    <w:rsid w:val="008421FB"/>
    <w:rsid w:val="008422E5"/>
    <w:rsid w:val="00842939"/>
    <w:rsid w:val="00843381"/>
    <w:rsid w:val="008436EA"/>
    <w:rsid w:val="00843A22"/>
    <w:rsid w:val="00843EF6"/>
    <w:rsid w:val="0084455B"/>
    <w:rsid w:val="00844E5E"/>
    <w:rsid w:val="00845411"/>
    <w:rsid w:val="00846475"/>
    <w:rsid w:val="008478A2"/>
    <w:rsid w:val="00847A1C"/>
    <w:rsid w:val="00847EF2"/>
    <w:rsid w:val="00847F61"/>
    <w:rsid w:val="008500C0"/>
    <w:rsid w:val="00850360"/>
    <w:rsid w:val="00850712"/>
    <w:rsid w:val="00850AA3"/>
    <w:rsid w:val="00850D7C"/>
    <w:rsid w:val="00850DFF"/>
    <w:rsid w:val="00851216"/>
    <w:rsid w:val="00851268"/>
    <w:rsid w:val="00851B5A"/>
    <w:rsid w:val="0085251A"/>
    <w:rsid w:val="008526BA"/>
    <w:rsid w:val="00852F3F"/>
    <w:rsid w:val="00853ED2"/>
    <w:rsid w:val="008549DA"/>
    <w:rsid w:val="0085522A"/>
    <w:rsid w:val="0085568F"/>
    <w:rsid w:val="008563C0"/>
    <w:rsid w:val="008565C3"/>
    <w:rsid w:val="00856B89"/>
    <w:rsid w:val="00856F4A"/>
    <w:rsid w:val="00857B9D"/>
    <w:rsid w:val="00857F05"/>
    <w:rsid w:val="00860015"/>
    <w:rsid w:val="0086001D"/>
    <w:rsid w:val="008603C2"/>
    <w:rsid w:val="00860566"/>
    <w:rsid w:val="008607A6"/>
    <w:rsid w:val="00862ADF"/>
    <w:rsid w:val="00862B84"/>
    <w:rsid w:val="008630AA"/>
    <w:rsid w:val="00863693"/>
    <w:rsid w:val="00864051"/>
    <w:rsid w:val="00864CAE"/>
    <w:rsid w:val="00865173"/>
    <w:rsid w:val="00865E39"/>
    <w:rsid w:val="0086621C"/>
    <w:rsid w:val="00866B65"/>
    <w:rsid w:val="00866F94"/>
    <w:rsid w:val="00867780"/>
    <w:rsid w:val="008700D4"/>
    <w:rsid w:val="0087042F"/>
    <w:rsid w:val="008708EB"/>
    <w:rsid w:val="0087168A"/>
    <w:rsid w:val="00871E88"/>
    <w:rsid w:val="0087239D"/>
    <w:rsid w:val="00872723"/>
    <w:rsid w:val="008727EE"/>
    <w:rsid w:val="00872914"/>
    <w:rsid w:val="008729FD"/>
    <w:rsid w:val="008733CC"/>
    <w:rsid w:val="008737B6"/>
    <w:rsid w:val="00873C1C"/>
    <w:rsid w:val="00873E50"/>
    <w:rsid w:val="0087408E"/>
    <w:rsid w:val="008755B1"/>
    <w:rsid w:val="008762C1"/>
    <w:rsid w:val="00877053"/>
    <w:rsid w:val="00877579"/>
    <w:rsid w:val="00877812"/>
    <w:rsid w:val="00877AC0"/>
    <w:rsid w:val="00877B1E"/>
    <w:rsid w:val="00877F76"/>
    <w:rsid w:val="008800F4"/>
    <w:rsid w:val="00880149"/>
    <w:rsid w:val="0088075C"/>
    <w:rsid w:val="00880A73"/>
    <w:rsid w:val="00880E2B"/>
    <w:rsid w:val="00880E9E"/>
    <w:rsid w:val="008810E8"/>
    <w:rsid w:val="0088160F"/>
    <w:rsid w:val="008816DA"/>
    <w:rsid w:val="00881CC9"/>
    <w:rsid w:val="008826D6"/>
    <w:rsid w:val="00882EEE"/>
    <w:rsid w:val="0088357C"/>
    <w:rsid w:val="00883AB5"/>
    <w:rsid w:val="00883F15"/>
    <w:rsid w:val="00883FD1"/>
    <w:rsid w:val="00884532"/>
    <w:rsid w:val="00884539"/>
    <w:rsid w:val="0088472A"/>
    <w:rsid w:val="00884E16"/>
    <w:rsid w:val="008850CE"/>
    <w:rsid w:val="008853E5"/>
    <w:rsid w:val="0088575B"/>
    <w:rsid w:val="00885ACC"/>
    <w:rsid w:val="00885F67"/>
    <w:rsid w:val="008863BB"/>
    <w:rsid w:val="0088661E"/>
    <w:rsid w:val="00886711"/>
    <w:rsid w:val="008868B0"/>
    <w:rsid w:val="008869D7"/>
    <w:rsid w:val="00887063"/>
    <w:rsid w:val="008873BF"/>
    <w:rsid w:val="0088778A"/>
    <w:rsid w:val="00890657"/>
    <w:rsid w:val="0089160A"/>
    <w:rsid w:val="00891F40"/>
    <w:rsid w:val="00892712"/>
    <w:rsid w:val="0089276D"/>
    <w:rsid w:val="00892ADC"/>
    <w:rsid w:val="008939B8"/>
    <w:rsid w:val="00894080"/>
    <w:rsid w:val="00894BFB"/>
    <w:rsid w:val="00894CCF"/>
    <w:rsid w:val="00894D5D"/>
    <w:rsid w:val="00895176"/>
    <w:rsid w:val="00895502"/>
    <w:rsid w:val="00895723"/>
    <w:rsid w:val="008962C8"/>
    <w:rsid w:val="00896363"/>
    <w:rsid w:val="00896934"/>
    <w:rsid w:val="00896D26"/>
    <w:rsid w:val="00896EC6"/>
    <w:rsid w:val="00897341"/>
    <w:rsid w:val="00897ACA"/>
    <w:rsid w:val="008A0C0F"/>
    <w:rsid w:val="008A116B"/>
    <w:rsid w:val="008A11C6"/>
    <w:rsid w:val="008A2664"/>
    <w:rsid w:val="008A3602"/>
    <w:rsid w:val="008A4572"/>
    <w:rsid w:val="008A4893"/>
    <w:rsid w:val="008A4948"/>
    <w:rsid w:val="008A4F65"/>
    <w:rsid w:val="008A52A2"/>
    <w:rsid w:val="008A5B60"/>
    <w:rsid w:val="008A5B8D"/>
    <w:rsid w:val="008A64D6"/>
    <w:rsid w:val="008A6715"/>
    <w:rsid w:val="008A6807"/>
    <w:rsid w:val="008A69FA"/>
    <w:rsid w:val="008A7106"/>
    <w:rsid w:val="008A74DE"/>
    <w:rsid w:val="008B0115"/>
    <w:rsid w:val="008B25D2"/>
    <w:rsid w:val="008B3693"/>
    <w:rsid w:val="008B3B32"/>
    <w:rsid w:val="008B4935"/>
    <w:rsid w:val="008B4AB4"/>
    <w:rsid w:val="008B5D46"/>
    <w:rsid w:val="008B7313"/>
    <w:rsid w:val="008C01B3"/>
    <w:rsid w:val="008C0732"/>
    <w:rsid w:val="008C0B7D"/>
    <w:rsid w:val="008C1915"/>
    <w:rsid w:val="008C24F2"/>
    <w:rsid w:val="008C30D3"/>
    <w:rsid w:val="008C3250"/>
    <w:rsid w:val="008C334D"/>
    <w:rsid w:val="008C3EB7"/>
    <w:rsid w:val="008C5061"/>
    <w:rsid w:val="008C5E9C"/>
    <w:rsid w:val="008C6215"/>
    <w:rsid w:val="008C684A"/>
    <w:rsid w:val="008D0536"/>
    <w:rsid w:val="008D08EC"/>
    <w:rsid w:val="008D0970"/>
    <w:rsid w:val="008D09C5"/>
    <w:rsid w:val="008D14AC"/>
    <w:rsid w:val="008D154D"/>
    <w:rsid w:val="008D17AC"/>
    <w:rsid w:val="008D17EE"/>
    <w:rsid w:val="008D1FFD"/>
    <w:rsid w:val="008D2634"/>
    <w:rsid w:val="008D3FE7"/>
    <w:rsid w:val="008D4C0E"/>
    <w:rsid w:val="008D4DBA"/>
    <w:rsid w:val="008D6446"/>
    <w:rsid w:val="008D6C27"/>
    <w:rsid w:val="008D76D7"/>
    <w:rsid w:val="008D7AF3"/>
    <w:rsid w:val="008D7C7E"/>
    <w:rsid w:val="008E033A"/>
    <w:rsid w:val="008E057B"/>
    <w:rsid w:val="008E12B9"/>
    <w:rsid w:val="008E2044"/>
    <w:rsid w:val="008E21A0"/>
    <w:rsid w:val="008E23D7"/>
    <w:rsid w:val="008E29E5"/>
    <w:rsid w:val="008E2EA3"/>
    <w:rsid w:val="008E3622"/>
    <w:rsid w:val="008E36C2"/>
    <w:rsid w:val="008E37F7"/>
    <w:rsid w:val="008E3CC9"/>
    <w:rsid w:val="008E454D"/>
    <w:rsid w:val="008E4DB3"/>
    <w:rsid w:val="008E4FD5"/>
    <w:rsid w:val="008E52C2"/>
    <w:rsid w:val="008E56A0"/>
    <w:rsid w:val="008E5952"/>
    <w:rsid w:val="008E5CEC"/>
    <w:rsid w:val="008E5D61"/>
    <w:rsid w:val="008E634F"/>
    <w:rsid w:val="008E6524"/>
    <w:rsid w:val="008E695F"/>
    <w:rsid w:val="008E7852"/>
    <w:rsid w:val="008E7B7D"/>
    <w:rsid w:val="008E7F8D"/>
    <w:rsid w:val="008F0267"/>
    <w:rsid w:val="008F033C"/>
    <w:rsid w:val="008F0965"/>
    <w:rsid w:val="008F11DB"/>
    <w:rsid w:val="008F1F54"/>
    <w:rsid w:val="008F27CA"/>
    <w:rsid w:val="008F289A"/>
    <w:rsid w:val="008F35DA"/>
    <w:rsid w:val="008F369B"/>
    <w:rsid w:val="008F3CA5"/>
    <w:rsid w:val="008F4200"/>
    <w:rsid w:val="008F4F91"/>
    <w:rsid w:val="008F56D9"/>
    <w:rsid w:val="008F5D74"/>
    <w:rsid w:val="008F5D8C"/>
    <w:rsid w:val="008F62F1"/>
    <w:rsid w:val="008F65ED"/>
    <w:rsid w:val="008F6FCB"/>
    <w:rsid w:val="008F7430"/>
    <w:rsid w:val="008F79EF"/>
    <w:rsid w:val="008F7E60"/>
    <w:rsid w:val="008F7F4C"/>
    <w:rsid w:val="00900D8C"/>
    <w:rsid w:val="00900DCC"/>
    <w:rsid w:val="00900E6F"/>
    <w:rsid w:val="00901882"/>
    <w:rsid w:val="00902807"/>
    <w:rsid w:val="00902E97"/>
    <w:rsid w:val="009036A3"/>
    <w:rsid w:val="009036EC"/>
    <w:rsid w:val="00903E21"/>
    <w:rsid w:val="00904D8A"/>
    <w:rsid w:val="00904DFC"/>
    <w:rsid w:val="00905490"/>
    <w:rsid w:val="009055C4"/>
    <w:rsid w:val="00905745"/>
    <w:rsid w:val="009064D3"/>
    <w:rsid w:val="009068F9"/>
    <w:rsid w:val="00906D2E"/>
    <w:rsid w:val="00906E94"/>
    <w:rsid w:val="00906F33"/>
    <w:rsid w:val="0090779C"/>
    <w:rsid w:val="0090783C"/>
    <w:rsid w:val="00907E8A"/>
    <w:rsid w:val="0091027D"/>
    <w:rsid w:val="009108DC"/>
    <w:rsid w:val="00910933"/>
    <w:rsid w:val="00911221"/>
    <w:rsid w:val="009112CC"/>
    <w:rsid w:val="009117CE"/>
    <w:rsid w:val="00911AC4"/>
    <w:rsid w:val="0091260F"/>
    <w:rsid w:val="00913D1F"/>
    <w:rsid w:val="0091454C"/>
    <w:rsid w:val="00914A3D"/>
    <w:rsid w:val="0091544B"/>
    <w:rsid w:val="009157E6"/>
    <w:rsid w:val="00915C04"/>
    <w:rsid w:val="00915E66"/>
    <w:rsid w:val="00916393"/>
    <w:rsid w:val="00916B5A"/>
    <w:rsid w:val="009173D8"/>
    <w:rsid w:val="009178EA"/>
    <w:rsid w:val="00920602"/>
    <w:rsid w:val="0092066F"/>
    <w:rsid w:val="00920FBB"/>
    <w:rsid w:val="00921C7A"/>
    <w:rsid w:val="0092209D"/>
    <w:rsid w:val="0092212C"/>
    <w:rsid w:val="0092217E"/>
    <w:rsid w:val="00922C03"/>
    <w:rsid w:val="00922F8C"/>
    <w:rsid w:val="009235E9"/>
    <w:rsid w:val="00923732"/>
    <w:rsid w:val="009238D6"/>
    <w:rsid w:val="00924371"/>
    <w:rsid w:val="009249B9"/>
    <w:rsid w:val="00925B56"/>
    <w:rsid w:val="009264BF"/>
    <w:rsid w:val="00926DF3"/>
    <w:rsid w:val="009272FD"/>
    <w:rsid w:val="0092730E"/>
    <w:rsid w:val="00927570"/>
    <w:rsid w:val="009279E5"/>
    <w:rsid w:val="009304EB"/>
    <w:rsid w:val="00930556"/>
    <w:rsid w:val="00930562"/>
    <w:rsid w:val="00930EEC"/>
    <w:rsid w:val="00931396"/>
    <w:rsid w:val="00931B57"/>
    <w:rsid w:val="00934680"/>
    <w:rsid w:val="00935D45"/>
    <w:rsid w:val="00935FD7"/>
    <w:rsid w:val="00936354"/>
    <w:rsid w:val="00936875"/>
    <w:rsid w:val="00937B73"/>
    <w:rsid w:val="009406D2"/>
    <w:rsid w:val="00940831"/>
    <w:rsid w:val="00941058"/>
    <w:rsid w:val="0094107C"/>
    <w:rsid w:val="009410C7"/>
    <w:rsid w:val="009415A4"/>
    <w:rsid w:val="00941767"/>
    <w:rsid w:val="00942E89"/>
    <w:rsid w:val="00943E98"/>
    <w:rsid w:val="0094455C"/>
    <w:rsid w:val="009449CC"/>
    <w:rsid w:val="00944EDA"/>
    <w:rsid w:val="00945694"/>
    <w:rsid w:val="00945E15"/>
    <w:rsid w:val="00945E2D"/>
    <w:rsid w:val="00946E59"/>
    <w:rsid w:val="0094766E"/>
    <w:rsid w:val="009478CE"/>
    <w:rsid w:val="009500EE"/>
    <w:rsid w:val="00950371"/>
    <w:rsid w:val="00950E04"/>
    <w:rsid w:val="00950F0A"/>
    <w:rsid w:val="0095110D"/>
    <w:rsid w:val="00951635"/>
    <w:rsid w:val="00951894"/>
    <w:rsid w:val="00951CA9"/>
    <w:rsid w:val="00951D96"/>
    <w:rsid w:val="00952022"/>
    <w:rsid w:val="00952108"/>
    <w:rsid w:val="009523CA"/>
    <w:rsid w:val="0095254F"/>
    <w:rsid w:val="00952AAA"/>
    <w:rsid w:val="00952E9F"/>
    <w:rsid w:val="00953251"/>
    <w:rsid w:val="009533A7"/>
    <w:rsid w:val="00953596"/>
    <w:rsid w:val="00955CDE"/>
    <w:rsid w:val="00955D00"/>
    <w:rsid w:val="009561C7"/>
    <w:rsid w:val="00956396"/>
    <w:rsid w:val="00957354"/>
    <w:rsid w:val="00957E7B"/>
    <w:rsid w:val="00960D44"/>
    <w:rsid w:val="009610B9"/>
    <w:rsid w:val="00961384"/>
    <w:rsid w:val="0096286E"/>
    <w:rsid w:val="00962CFD"/>
    <w:rsid w:val="00963231"/>
    <w:rsid w:val="00963A92"/>
    <w:rsid w:val="00964388"/>
    <w:rsid w:val="00964545"/>
    <w:rsid w:val="0096464E"/>
    <w:rsid w:val="00964997"/>
    <w:rsid w:val="00964A9E"/>
    <w:rsid w:val="00964AFE"/>
    <w:rsid w:val="00964B22"/>
    <w:rsid w:val="009652A5"/>
    <w:rsid w:val="0096593A"/>
    <w:rsid w:val="009660FE"/>
    <w:rsid w:val="0096729D"/>
    <w:rsid w:val="00967704"/>
    <w:rsid w:val="009678BB"/>
    <w:rsid w:val="00967B32"/>
    <w:rsid w:val="00967F6D"/>
    <w:rsid w:val="009700DA"/>
    <w:rsid w:val="00970377"/>
    <w:rsid w:val="0097050C"/>
    <w:rsid w:val="00970D15"/>
    <w:rsid w:val="009735D9"/>
    <w:rsid w:val="009738E6"/>
    <w:rsid w:val="00973B35"/>
    <w:rsid w:val="009740D2"/>
    <w:rsid w:val="009750A2"/>
    <w:rsid w:val="0097520B"/>
    <w:rsid w:val="00975D65"/>
    <w:rsid w:val="009764AD"/>
    <w:rsid w:val="00977251"/>
    <w:rsid w:val="00977293"/>
    <w:rsid w:val="00977298"/>
    <w:rsid w:val="00980D3F"/>
    <w:rsid w:val="00981336"/>
    <w:rsid w:val="00982098"/>
    <w:rsid w:val="0098249A"/>
    <w:rsid w:val="00982526"/>
    <w:rsid w:val="00982ECF"/>
    <w:rsid w:val="00982FB1"/>
    <w:rsid w:val="009840D6"/>
    <w:rsid w:val="00984398"/>
    <w:rsid w:val="0098457B"/>
    <w:rsid w:val="009855A8"/>
    <w:rsid w:val="00985B4B"/>
    <w:rsid w:val="00985D5C"/>
    <w:rsid w:val="009862AC"/>
    <w:rsid w:val="0098683F"/>
    <w:rsid w:val="00986EA7"/>
    <w:rsid w:val="009873D3"/>
    <w:rsid w:val="009879BE"/>
    <w:rsid w:val="00987A11"/>
    <w:rsid w:val="00987BDE"/>
    <w:rsid w:val="0099078A"/>
    <w:rsid w:val="009911F6"/>
    <w:rsid w:val="009913E3"/>
    <w:rsid w:val="00991651"/>
    <w:rsid w:val="00991FE5"/>
    <w:rsid w:val="00992353"/>
    <w:rsid w:val="00992B01"/>
    <w:rsid w:val="00993735"/>
    <w:rsid w:val="00993850"/>
    <w:rsid w:val="00993B20"/>
    <w:rsid w:val="009944B1"/>
    <w:rsid w:val="00994A1C"/>
    <w:rsid w:val="0099542F"/>
    <w:rsid w:val="00995767"/>
    <w:rsid w:val="00995EA8"/>
    <w:rsid w:val="0099659B"/>
    <w:rsid w:val="00996606"/>
    <w:rsid w:val="0099670E"/>
    <w:rsid w:val="0099697E"/>
    <w:rsid w:val="00996A24"/>
    <w:rsid w:val="00996CD2"/>
    <w:rsid w:val="00996F88"/>
    <w:rsid w:val="009976D6"/>
    <w:rsid w:val="00997ABF"/>
    <w:rsid w:val="00997D12"/>
    <w:rsid w:val="00997F22"/>
    <w:rsid w:val="009A0521"/>
    <w:rsid w:val="009A0723"/>
    <w:rsid w:val="009A1C24"/>
    <w:rsid w:val="009A1D9A"/>
    <w:rsid w:val="009A2089"/>
    <w:rsid w:val="009A2228"/>
    <w:rsid w:val="009A26FD"/>
    <w:rsid w:val="009A2844"/>
    <w:rsid w:val="009A292F"/>
    <w:rsid w:val="009A2A96"/>
    <w:rsid w:val="009A3B6E"/>
    <w:rsid w:val="009A3CE5"/>
    <w:rsid w:val="009A418F"/>
    <w:rsid w:val="009A5457"/>
    <w:rsid w:val="009A5AD2"/>
    <w:rsid w:val="009A621D"/>
    <w:rsid w:val="009A62DB"/>
    <w:rsid w:val="009A6397"/>
    <w:rsid w:val="009A6656"/>
    <w:rsid w:val="009A6871"/>
    <w:rsid w:val="009A6F33"/>
    <w:rsid w:val="009A712B"/>
    <w:rsid w:val="009A73B8"/>
    <w:rsid w:val="009A7620"/>
    <w:rsid w:val="009A7C73"/>
    <w:rsid w:val="009A7E71"/>
    <w:rsid w:val="009A7FC0"/>
    <w:rsid w:val="009B0060"/>
    <w:rsid w:val="009B0972"/>
    <w:rsid w:val="009B138B"/>
    <w:rsid w:val="009B1558"/>
    <w:rsid w:val="009B166C"/>
    <w:rsid w:val="009B193A"/>
    <w:rsid w:val="009B1F06"/>
    <w:rsid w:val="009B32B4"/>
    <w:rsid w:val="009B3907"/>
    <w:rsid w:val="009B4017"/>
    <w:rsid w:val="009B45F9"/>
    <w:rsid w:val="009B4A39"/>
    <w:rsid w:val="009B4AD9"/>
    <w:rsid w:val="009B62EE"/>
    <w:rsid w:val="009B6319"/>
    <w:rsid w:val="009B7F1E"/>
    <w:rsid w:val="009C0398"/>
    <w:rsid w:val="009C0A2C"/>
    <w:rsid w:val="009C0A8C"/>
    <w:rsid w:val="009C0AC8"/>
    <w:rsid w:val="009C1490"/>
    <w:rsid w:val="009C163E"/>
    <w:rsid w:val="009C2169"/>
    <w:rsid w:val="009C22B1"/>
    <w:rsid w:val="009C2B1E"/>
    <w:rsid w:val="009C36BF"/>
    <w:rsid w:val="009C3773"/>
    <w:rsid w:val="009C43C0"/>
    <w:rsid w:val="009C43E6"/>
    <w:rsid w:val="009C4AA6"/>
    <w:rsid w:val="009C4C08"/>
    <w:rsid w:val="009C4ED0"/>
    <w:rsid w:val="009C58EC"/>
    <w:rsid w:val="009C593A"/>
    <w:rsid w:val="009C66D5"/>
    <w:rsid w:val="009C6B6A"/>
    <w:rsid w:val="009C786C"/>
    <w:rsid w:val="009C7D06"/>
    <w:rsid w:val="009C7EE7"/>
    <w:rsid w:val="009D01B8"/>
    <w:rsid w:val="009D073E"/>
    <w:rsid w:val="009D1622"/>
    <w:rsid w:val="009D1C99"/>
    <w:rsid w:val="009D2704"/>
    <w:rsid w:val="009D282B"/>
    <w:rsid w:val="009D29D4"/>
    <w:rsid w:val="009D2B2D"/>
    <w:rsid w:val="009D2C69"/>
    <w:rsid w:val="009D38DD"/>
    <w:rsid w:val="009D4974"/>
    <w:rsid w:val="009D49FD"/>
    <w:rsid w:val="009D4D65"/>
    <w:rsid w:val="009D5C23"/>
    <w:rsid w:val="009D5C34"/>
    <w:rsid w:val="009D62A0"/>
    <w:rsid w:val="009D6466"/>
    <w:rsid w:val="009D6BEE"/>
    <w:rsid w:val="009D7292"/>
    <w:rsid w:val="009D760F"/>
    <w:rsid w:val="009D7616"/>
    <w:rsid w:val="009D775C"/>
    <w:rsid w:val="009D7B64"/>
    <w:rsid w:val="009D7CCD"/>
    <w:rsid w:val="009E03E3"/>
    <w:rsid w:val="009E068A"/>
    <w:rsid w:val="009E10A4"/>
    <w:rsid w:val="009E10CB"/>
    <w:rsid w:val="009E1613"/>
    <w:rsid w:val="009E1C04"/>
    <w:rsid w:val="009E1EC1"/>
    <w:rsid w:val="009E1EC6"/>
    <w:rsid w:val="009E1FC2"/>
    <w:rsid w:val="009E2AC3"/>
    <w:rsid w:val="009E30D0"/>
    <w:rsid w:val="009E36AF"/>
    <w:rsid w:val="009E407C"/>
    <w:rsid w:val="009E474D"/>
    <w:rsid w:val="009E4F42"/>
    <w:rsid w:val="009E4FF2"/>
    <w:rsid w:val="009E5009"/>
    <w:rsid w:val="009E655A"/>
    <w:rsid w:val="009E72DB"/>
    <w:rsid w:val="009E74B3"/>
    <w:rsid w:val="009E7F57"/>
    <w:rsid w:val="009F07FE"/>
    <w:rsid w:val="009F0DD5"/>
    <w:rsid w:val="009F0E30"/>
    <w:rsid w:val="009F1A92"/>
    <w:rsid w:val="009F2358"/>
    <w:rsid w:val="009F2659"/>
    <w:rsid w:val="009F283B"/>
    <w:rsid w:val="009F3234"/>
    <w:rsid w:val="009F3A41"/>
    <w:rsid w:val="009F3E28"/>
    <w:rsid w:val="009F40BE"/>
    <w:rsid w:val="009F449F"/>
    <w:rsid w:val="009F4983"/>
    <w:rsid w:val="009F4FA2"/>
    <w:rsid w:val="009F4FAA"/>
    <w:rsid w:val="009F5289"/>
    <w:rsid w:val="009F5765"/>
    <w:rsid w:val="009F5874"/>
    <w:rsid w:val="009F5D04"/>
    <w:rsid w:val="009F7E5D"/>
    <w:rsid w:val="009F7F87"/>
    <w:rsid w:val="00A01461"/>
    <w:rsid w:val="00A01768"/>
    <w:rsid w:val="00A019BB"/>
    <w:rsid w:val="00A01A6B"/>
    <w:rsid w:val="00A01DEC"/>
    <w:rsid w:val="00A020A4"/>
    <w:rsid w:val="00A022F8"/>
    <w:rsid w:val="00A02371"/>
    <w:rsid w:val="00A02A36"/>
    <w:rsid w:val="00A02F04"/>
    <w:rsid w:val="00A0317E"/>
    <w:rsid w:val="00A0385F"/>
    <w:rsid w:val="00A038A2"/>
    <w:rsid w:val="00A03F9F"/>
    <w:rsid w:val="00A041DC"/>
    <w:rsid w:val="00A04365"/>
    <w:rsid w:val="00A043FC"/>
    <w:rsid w:val="00A04759"/>
    <w:rsid w:val="00A04F3C"/>
    <w:rsid w:val="00A0502B"/>
    <w:rsid w:val="00A05635"/>
    <w:rsid w:val="00A058EE"/>
    <w:rsid w:val="00A06202"/>
    <w:rsid w:val="00A069C8"/>
    <w:rsid w:val="00A06A94"/>
    <w:rsid w:val="00A07269"/>
    <w:rsid w:val="00A07C87"/>
    <w:rsid w:val="00A1008C"/>
    <w:rsid w:val="00A1095A"/>
    <w:rsid w:val="00A10DA8"/>
    <w:rsid w:val="00A11658"/>
    <w:rsid w:val="00A11F89"/>
    <w:rsid w:val="00A1274C"/>
    <w:rsid w:val="00A12A91"/>
    <w:rsid w:val="00A13089"/>
    <w:rsid w:val="00A13093"/>
    <w:rsid w:val="00A13599"/>
    <w:rsid w:val="00A13869"/>
    <w:rsid w:val="00A13AB5"/>
    <w:rsid w:val="00A14DC8"/>
    <w:rsid w:val="00A14EDF"/>
    <w:rsid w:val="00A171B8"/>
    <w:rsid w:val="00A175BD"/>
    <w:rsid w:val="00A17622"/>
    <w:rsid w:val="00A203FF"/>
    <w:rsid w:val="00A21696"/>
    <w:rsid w:val="00A21B54"/>
    <w:rsid w:val="00A21CCE"/>
    <w:rsid w:val="00A22CC4"/>
    <w:rsid w:val="00A22EF4"/>
    <w:rsid w:val="00A24688"/>
    <w:rsid w:val="00A24E53"/>
    <w:rsid w:val="00A256FF"/>
    <w:rsid w:val="00A258F8"/>
    <w:rsid w:val="00A260C7"/>
    <w:rsid w:val="00A26FF1"/>
    <w:rsid w:val="00A271C7"/>
    <w:rsid w:val="00A274FE"/>
    <w:rsid w:val="00A278AE"/>
    <w:rsid w:val="00A306E4"/>
    <w:rsid w:val="00A30AA3"/>
    <w:rsid w:val="00A31317"/>
    <w:rsid w:val="00A32E5C"/>
    <w:rsid w:val="00A3305E"/>
    <w:rsid w:val="00A330D3"/>
    <w:rsid w:val="00A339A2"/>
    <w:rsid w:val="00A33A6A"/>
    <w:rsid w:val="00A33CB1"/>
    <w:rsid w:val="00A33D9E"/>
    <w:rsid w:val="00A33ED4"/>
    <w:rsid w:val="00A340A4"/>
    <w:rsid w:val="00A34B1E"/>
    <w:rsid w:val="00A354C0"/>
    <w:rsid w:val="00A36025"/>
    <w:rsid w:val="00A37446"/>
    <w:rsid w:val="00A376F2"/>
    <w:rsid w:val="00A37CCB"/>
    <w:rsid w:val="00A40069"/>
    <w:rsid w:val="00A42327"/>
    <w:rsid w:val="00A424A0"/>
    <w:rsid w:val="00A427BF"/>
    <w:rsid w:val="00A42FB7"/>
    <w:rsid w:val="00A4311D"/>
    <w:rsid w:val="00A43243"/>
    <w:rsid w:val="00A4329D"/>
    <w:rsid w:val="00A4359A"/>
    <w:rsid w:val="00A44C57"/>
    <w:rsid w:val="00A44D88"/>
    <w:rsid w:val="00A45008"/>
    <w:rsid w:val="00A467E1"/>
    <w:rsid w:val="00A46DEE"/>
    <w:rsid w:val="00A479B2"/>
    <w:rsid w:val="00A47FE8"/>
    <w:rsid w:val="00A50552"/>
    <w:rsid w:val="00A50A97"/>
    <w:rsid w:val="00A51107"/>
    <w:rsid w:val="00A5151F"/>
    <w:rsid w:val="00A51664"/>
    <w:rsid w:val="00A51A8B"/>
    <w:rsid w:val="00A51E13"/>
    <w:rsid w:val="00A52FE9"/>
    <w:rsid w:val="00A53274"/>
    <w:rsid w:val="00A53444"/>
    <w:rsid w:val="00A535A4"/>
    <w:rsid w:val="00A5364B"/>
    <w:rsid w:val="00A545E7"/>
    <w:rsid w:val="00A54878"/>
    <w:rsid w:val="00A548D0"/>
    <w:rsid w:val="00A5497F"/>
    <w:rsid w:val="00A54A44"/>
    <w:rsid w:val="00A54C91"/>
    <w:rsid w:val="00A54D15"/>
    <w:rsid w:val="00A54E4C"/>
    <w:rsid w:val="00A5541F"/>
    <w:rsid w:val="00A558F5"/>
    <w:rsid w:val="00A55C88"/>
    <w:rsid w:val="00A55FC2"/>
    <w:rsid w:val="00A56019"/>
    <w:rsid w:val="00A561CB"/>
    <w:rsid w:val="00A56A75"/>
    <w:rsid w:val="00A56B06"/>
    <w:rsid w:val="00A56E7C"/>
    <w:rsid w:val="00A56F7D"/>
    <w:rsid w:val="00A57028"/>
    <w:rsid w:val="00A574D2"/>
    <w:rsid w:val="00A57F99"/>
    <w:rsid w:val="00A600F9"/>
    <w:rsid w:val="00A604A3"/>
    <w:rsid w:val="00A609E9"/>
    <w:rsid w:val="00A61489"/>
    <w:rsid w:val="00A61AB5"/>
    <w:rsid w:val="00A6205F"/>
    <w:rsid w:val="00A623E9"/>
    <w:rsid w:val="00A62E8C"/>
    <w:rsid w:val="00A63482"/>
    <w:rsid w:val="00A6389A"/>
    <w:rsid w:val="00A638F4"/>
    <w:rsid w:val="00A63EEB"/>
    <w:rsid w:val="00A64856"/>
    <w:rsid w:val="00A64F58"/>
    <w:rsid w:val="00A65A53"/>
    <w:rsid w:val="00A660B1"/>
    <w:rsid w:val="00A660C4"/>
    <w:rsid w:val="00A66B2A"/>
    <w:rsid w:val="00A66C7F"/>
    <w:rsid w:val="00A6769B"/>
    <w:rsid w:val="00A67772"/>
    <w:rsid w:val="00A67A77"/>
    <w:rsid w:val="00A700EF"/>
    <w:rsid w:val="00A70AE6"/>
    <w:rsid w:val="00A70C2E"/>
    <w:rsid w:val="00A70CA8"/>
    <w:rsid w:val="00A7187A"/>
    <w:rsid w:val="00A723C6"/>
    <w:rsid w:val="00A744FE"/>
    <w:rsid w:val="00A74C16"/>
    <w:rsid w:val="00A75349"/>
    <w:rsid w:val="00A75393"/>
    <w:rsid w:val="00A768E8"/>
    <w:rsid w:val="00A77C6B"/>
    <w:rsid w:val="00A801B3"/>
    <w:rsid w:val="00A802AB"/>
    <w:rsid w:val="00A806F9"/>
    <w:rsid w:val="00A8092C"/>
    <w:rsid w:val="00A80BD2"/>
    <w:rsid w:val="00A823A4"/>
    <w:rsid w:val="00A82963"/>
    <w:rsid w:val="00A831D2"/>
    <w:rsid w:val="00A8360A"/>
    <w:rsid w:val="00A83877"/>
    <w:rsid w:val="00A839C5"/>
    <w:rsid w:val="00A839DA"/>
    <w:rsid w:val="00A83A4D"/>
    <w:rsid w:val="00A84068"/>
    <w:rsid w:val="00A8473B"/>
    <w:rsid w:val="00A8475F"/>
    <w:rsid w:val="00A84763"/>
    <w:rsid w:val="00A84847"/>
    <w:rsid w:val="00A8487F"/>
    <w:rsid w:val="00A84B18"/>
    <w:rsid w:val="00A84FA7"/>
    <w:rsid w:val="00A85369"/>
    <w:rsid w:val="00A85490"/>
    <w:rsid w:val="00A85DC5"/>
    <w:rsid w:val="00A85DDA"/>
    <w:rsid w:val="00A86431"/>
    <w:rsid w:val="00A866ED"/>
    <w:rsid w:val="00A86995"/>
    <w:rsid w:val="00A869CF"/>
    <w:rsid w:val="00A86C97"/>
    <w:rsid w:val="00A86EE4"/>
    <w:rsid w:val="00A87189"/>
    <w:rsid w:val="00A873B3"/>
    <w:rsid w:val="00A87592"/>
    <w:rsid w:val="00A877C0"/>
    <w:rsid w:val="00A905AE"/>
    <w:rsid w:val="00A9085D"/>
    <w:rsid w:val="00A90B65"/>
    <w:rsid w:val="00A910AA"/>
    <w:rsid w:val="00A9150A"/>
    <w:rsid w:val="00A917B3"/>
    <w:rsid w:val="00A9183D"/>
    <w:rsid w:val="00A91CC5"/>
    <w:rsid w:val="00A91D29"/>
    <w:rsid w:val="00A91F09"/>
    <w:rsid w:val="00A926FE"/>
    <w:rsid w:val="00A92BED"/>
    <w:rsid w:val="00A933AC"/>
    <w:rsid w:val="00A94269"/>
    <w:rsid w:val="00A948F4"/>
    <w:rsid w:val="00A94CDD"/>
    <w:rsid w:val="00A95645"/>
    <w:rsid w:val="00A956CD"/>
    <w:rsid w:val="00A95A04"/>
    <w:rsid w:val="00A9645A"/>
    <w:rsid w:val="00A97657"/>
    <w:rsid w:val="00A97835"/>
    <w:rsid w:val="00A9797D"/>
    <w:rsid w:val="00AA17CD"/>
    <w:rsid w:val="00AA1C41"/>
    <w:rsid w:val="00AA1CEF"/>
    <w:rsid w:val="00AA1E6E"/>
    <w:rsid w:val="00AA1EC0"/>
    <w:rsid w:val="00AA2988"/>
    <w:rsid w:val="00AA2B22"/>
    <w:rsid w:val="00AA3375"/>
    <w:rsid w:val="00AA460B"/>
    <w:rsid w:val="00AA4719"/>
    <w:rsid w:val="00AA5878"/>
    <w:rsid w:val="00AA5999"/>
    <w:rsid w:val="00AA5AE2"/>
    <w:rsid w:val="00AA6923"/>
    <w:rsid w:val="00AA6CC7"/>
    <w:rsid w:val="00AA6D28"/>
    <w:rsid w:val="00AA6DB6"/>
    <w:rsid w:val="00AA6F61"/>
    <w:rsid w:val="00AA7C7D"/>
    <w:rsid w:val="00AA7CEE"/>
    <w:rsid w:val="00AB10DB"/>
    <w:rsid w:val="00AB13F8"/>
    <w:rsid w:val="00AB152A"/>
    <w:rsid w:val="00AB1D63"/>
    <w:rsid w:val="00AB258A"/>
    <w:rsid w:val="00AB2A40"/>
    <w:rsid w:val="00AB2A86"/>
    <w:rsid w:val="00AB3089"/>
    <w:rsid w:val="00AB3CDE"/>
    <w:rsid w:val="00AB42B4"/>
    <w:rsid w:val="00AB4F27"/>
    <w:rsid w:val="00AB5473"/>
    <w:rsid w:val="00AB5A3E"/>
    <w:rsid w:val="00AB72C1"/>
    <w:rsid w:val="00AB7703"/>
    <w:rsid w:val="00AB771E"/>
    <w:rsid w:val="00AB78F3"/>
    <w:rsid w:val="00AB7B20"/>
    <w:rsid w:val="00AC1579"/>
    <w:rsid w:val="00AC188C"/>
    <w:rsid w:val="00AC2051"/>
    <w:rsid w:val="00AC2798"/>
    <w:rsid w:val="00AC2AD1"/>
    <w:rsid w:val="00AC3585"/>
    <w:rsid w:val="00AC40CD"/>
    <w:rsid w:val="00AC47A7"/>
    <w:rsid w:val="00AC53DE"/>
    <w:rsid w:val="00AC552F"/>
    <w:rsid w:val="00AC559B"/>
    <w:rsid w:val="00AC6006"/>
    <w:rsid w:val="00AC61D4"/>
    <w:rsid w:val="00AC67CD"/>
    <w:rsid w:val="00AC6A3F"/>
    <w:rsid w:val="00AC7590"/>
    <w:rsid w:val="00AC7DE4"/>
    <w:rsid w:val="00AC7F57"/>
    <w:rsid w:val="00AD0329"/>
    <w:rsid w:val="00AD04CD"/>
    <w:rsid w:val="00AD066E"/>
    <w:rsid w:val="00AD07AA"/>
    <w:rsid w:val="00AD0BA4"/>
    <w:rsid w:val="00AD0C42"/>
    <w:rsid w:val="00AD0EC9"/>
    <w:rsid w:val="00AD0FC6"/>
    <w:rsid w:val="00AD104E"/>
    <w:rsid w:val="00AD152D"/>
    <w:rsid w:val="00AD1B0A"/>
    <w:rsid w:val="00AD25ED"/>
    <w:rsid w:val="00AD2710"/>
    <w:rsid w:val="00AD33BB"/>
    <w:rsid w:val="00AD3B76"/>
    <w:rsid w:val="00AD49C9"/>
    <w:rsid w:val="00AE0052"/>
    <w:rsid w:val="00AE0B0E"/>
    <w:rsid w:val="00AE0F55"/>
    <w:rsid w:val="00AE104C"/>
    <w:rsid w:val="00AE10DB"/>
    <w:rsid w:val="00AE1376"/>
    <w:rsid w:val="00AE13B9"/>
    <w:rsid w:val="00AE1525"/>
    <w:rsid w:val="00AE162C"/>
    <w:rsid w:val="00AE17F7"/>
    <w:rsid w:val="00AE1BAF"/>
    <w:rsid w:val="00AE2448"/>
    <w:rsid w:val="00AE2609"/>
    <w:rsid w:val="00AE2D27"/>
    <w:rsid w:val="00AE2F65"/>
    <w:rsid w:val="00AE361A"/>
    <w:rsid w:val="00AE3687"/>
    <w:rsid w:val="00AE3792"/>
    <w:rsid w:val="00AE3EA4"/>
    <w:rsid w:val="00AE41EB"/>
    <w:rsid w:val="00AE4278"/>
    <w:rsid w:val="00AE456E"/>
    <w:rsid w:val="00AE494A"/>
    <w:rsid w:val="00AE4B6E"/>
    <w:rsid w:val="00AE53F3"/>
    <w:rsid w:val="00AE560E"/>
    <w:rsid w:val="00AE59E9"/>
    <w:rsid w:val="00AE5AE9"/>
    <w:rsid w:val="00AE60DF"/>
    <w:rsid w:val="00AE6C38"/>
    <w:rsid w:val="00AE7F02"/>
    <w:rsid w:val="00AF0208"/>
    <w:rsid w:val="00AF093A"/>
    <w:rsid w:val="00AF0983"/>
    <w:rsid w:val="00AF0BE9"/>
    <w:rsid w:val="00AF10BA"/>
    <w:rsid w:val="00AF13B1"/>
    <w:rsid w:val="00AF151D"/>
    <w:rsid w:val="00AF21DE"/>
    <w:rsid w:val="00AF23AA"/>
    <w:rsid w:val="00AF2C4D"/>
    <w:rsid w:val="00AF3253"/>
    <w:rsid w:val="00AF346A"/>
    <w:rsid w:val="00AF3E32"/>
    <w:rsid w:val="00AF448B"/>
    <w:rsid w:val="00AF4C73"/>
    <w:rsid w:val="00AF4DD6"/>
    <w:rsid w:val="00AF53C8"/>
    <w:rsid w:val="00AF56CB"/>
    <w:rsid w:val="00AF5ACE"/>
    <w:rsid w:val="00AF67DB"/>
    <w:rsid w:val="00AF764D"/>
    <w:rsid w:val="00AF7F64"/>
    <w:rsid w:val="00B001CC"/>
    <w:rsid w:val="00B00A54"/>
    <w:rsid w:val="00B00D15"/>
    <w:rsid w:val="00B00F38"/>
    <w:rsid w:val="00B0131D"/>
    <w:rsid w:val="00B018B7"/>
    <w:rsid w:val="00B01F0D"/>
    <w:rsid w:val="00B02296"/>
    <w:rsid w:val="00B0249A"/>
    <w:rsid w:val="00B02F65"/>
    <w:rsid w:val="00B02F6E"/>
    <w:rsid w:val="00B032C5"/>
    <w:rsid w:val="00B033A9"/>
    <w:rsid w:val="00B03425"/>
    <w:rsid w:val="00B03907"/>
    <w:rsid w:val="00B03C6A"/>
    <w:rsid w:val="00B042D4"/>
    <w:rsid w:val="00B04F2A"/>
    <w:rsid w:val="00B0501C"/>
    <w:rsid w:val="00B05826"/>
    <w:rsid w:val="00B05C4F"/>
    <w:rsid w:val="00B05E95"/>
    <w:rsid w:val="00B06740"/>
    <w:rsid w:val="00B06ED6"/>
    <w:rsid w:val="00B078FF"/>
    <w:rsid w:val="00B07EEC"/>
    <w:rsid w:val="00B10353"/>
    <w:rsid w:val="00B1188F"/>
    <w:rsid w:val="00B11D4A"/>
    <w:rsid w:val="00B124C5"/>
    <w:rsid w:val="00B12E3E"/>
    <w:rsid w:val="00B12F43"/>
    <w:rsid w:val="00B131C8"/>
    <w:rsid w:val="00B1384B"/>
    <w:rsid w:val="00B139ED"/>
    <w:rsid w:val="00B145DE"/>
    <w:rsid w:val="00B15115"/>
    <w:rsid w:val="00B155FA"/>
    <w:rsid w:val="00B15E3C"/>
    <w:rsid w:val="00B16792"/>
    <w:rsid w:val="00B1712D"/>
    <w:rsid w:val="00B1757B"/>
    <w:rsid w:val="00B21982"/>
    <w:rsid w:val="00B2267A"/>
    <w:rsid w:val="00B228E9"/>
    <w:rsid w:val="00B229C7"/>
    <w:rsid w:val="00B23933"/>
    <w:rsid w:val="00B24242"/>
    <w:rsid w:val="00B243DA"/>
    <w:rsid w:val="00B244A0"/>
    <w:rsid w:val="00B2499C"/>
    <w:rsid w:val="00B24A4E"/>
    <w:rsid w:val="00B24D83"/>
    <w:rsid w:val="00B25106"/>
    <w:rsid w:val="00B251B5"/>
    <w:rsid w:val="00B2562B"/>
    <w:rsid w:val="00B2573C"/>
    <w:rsid w:val="00B25CD7"/>
    <w:rsid w:val="00B25E78"/>
    <w:rsid w:val="00B26595"/>
    <w:rsid w:val="00B26915"/>
    <w:rsid w:val="00B26CB6"/>
    <w:rsid w:val="00B26E00"/>
    <w:rsid w:val="00B273A5"/>
    <w:rsid w:val="00B277C3"/>
    <w:rsid w:val="00B27D5A"/>
    <w:rsid w:val="00B301AE"/>
    <w:rsid w:val="00B30637"/>
    <w:rsid w:val="00B30DC2"/>
    <w:rsid w:val="00B31188"/>
    <w:rsid w:val="00B317B1"/>
    <w:rsid w:val="00B31985"/>
    <w:rsid w:val="00B330E5"/>
    <w:rsid w:val="00B33CF4"/>
    <w:rsid w:val="00B33FE2"/>
    <w:rsid w:val="00B35680"/>
    <w:rsid w:val="00B35925"/>
    <w:rsid w:val="00B35952"/>
    <w:rsid w:val="00B36620"/>
    <w:rsid w:val="00B37801"/>
    <w:rsid w:val="00B37863"/>
    <w:rsid w:val="00B40195"/>
    <w:rsid w:val="00B405F2"/>
    <w:rsid w:val="00B41565"/>
    <w:rsid w:val="00B41814"/>
    <w:rsid w:val="00B42335"/>
    <w:rsid w:val="00B42871"/>
    <w:rsid w:val="00B42970"/>
    <w:rsid w:val="00B4312C"/>
    <w:rsid w:val="00B439E2"/>
    <w:rsid w:val="00B44E11"/>
    <w:rsid w:val="00B456B3"/>
    <w:rsid w:val="00B45E8C"/>
    <w:rsid w:val="00B461AC"/>
    <w:rsid w:val="00B46387"/>
    <w:rsid w:val="00B464A0"/>
    <w:rsid w:val="00B4732B"/>
    <w:rsid w:val="00B4743D"/>
    <w:rsid w:val="00B47988"/>
    <w:rsid w:val="00B503C6"/>
    <w:rsid w:val="00B506E0"/>
    <w:rsid w:val="00B510D4"/>
    <w:rsid w:val="00B51A14"/>
    <w:rsid w:val="00B52179"/>
    <w:rsid w:val="00B52B27"/>
    <w:rsid w:val="00B53854"/>
    <w:rsid w:val="00B54163"/>
    <w:rsid w:val="00B54219"/>
    <w:rsid w:val="00B5434D"/>
    <w:rsid w:val="00B54622"/>
    <w:rsid w:val="00B556A8"/>
    <w:rsid w:val="00B55A5E"/>
    <w:rsid w:val="00B56A71"/>
    <w:rsid w:val="00B60B8D"/>
    <w:rsid w:val="00B6103E"/>
    <w:rsid w:val="00B615B7"/>
    <w:rsid w:val="00B615CC"/>
    <w:rsid w:val="00B61E19"/>
    <w:rsid w:val="00B61F23"/>
    <w:rsid w:val="00B6274E"/>
    <w:rsid w:val="00B62F7D"/>
    <w:rsid w:val="00B6366B"/>
    <w:rsid w:val="00B63733"/>
    <w:rsid w:val="00B64226"/>
    <w:rsid w:val="00B65715"/>
    <w:rsid w:val="00B66429"/>
    <w:rsid w:val="00B70A10"/>
    <w:rsid w:val="00B711C9"/>
    <w:rsid w:val="00B71807"/>
    <w:rsid w:val="00B7198C"/>
    <w:rsid w:val="00B71D57"/>
    <w:rsid w:val="00B720B1"/>
    <w:rsid w:val="00B72146"/>
    <w:rsid w:val="00B72217"/>
    <w:rsid w:val="00B724F0"/>
    <w:rsid w:val="00B731BC"/>
    <w:rsid w:val="00B73B86"/>
    <w:rsid w:val="00B73C78"/>
    <w:rsid w:val="00B74E57"/>
    <w:rsid w:val="00B7583A"/>
    <w:rsid w:val="00B76113"/>
    <w:rsid w:val="00B7641E"/>
    <w:rsid w:val="00B76EF5"/>
    <w:rsid w:val="00B77ED9"/>
    <w:rsid w:val="00B80646"/>
    <w:rsid w:val="00B80A0D"/>
    <w:rsid w:val="00B80B2F"/>
    <w:rsid w:val="00B80C60"/>
    <w:rsid w:val="00B80D62"/>
    <w:rsid w:val="00B8107C"/>
    <w:rsid w:val="00B813D3"/>
    <w:rsid w:val="00B8162B"/>
    <w:rsid w:val="00B81EA7"/>
    <w:rsid w:val="00B81ED2"/>
    <w:rsid w:val="00B82205"/>
    <w:rsid w:val="00B822C6"/>
    <w:rsid w:val="00B823CE"/>
    <w:rsid w:val="00B824C4"/>
    <w:rsid w:val="00B82548"/>
    <w:rsid w:val="00B82793"/>
    <w:rsid w:val="00B82902"/>
    <w:rsid w:val="00B82E3A"/>
    <w:rsid w:val="00B8319F"/>
    <w:rsid w:val="00B8356A"/>
    <w:rsid w:val="00B83710"/>
    <w:rsid w:val="00B843A0"/>
    <w:rsid w:val="00B84C5E"/>
    <w:rsid w:val="00B84EEF"/>
    <w:rsid w:val="00B856F5"/>
    <w:rsid w:val="00B85C6C"/>
    <w:rsid w:val="00B86635"/>
    <w:rsid w:val="00B866FD"/>
    <w:rsid w:val="00B86A62"/>
    <w:rsid w:val="00B86B68"/>
    <w:rsid w:val="00B86E19"/>
    <w:rsid w:val="00B86E27"/>
    <w:rsid w:val="00B86F88"/>
    <w:rsid w:val="00B870B3"/>
    <w:rsid w:val="00B90018"/>
    <w:rsid w:val="00B9108F"/>
    <w:rsid w:val="00B91191"/>
    <w:rsid w:val="00B91BBE"/>
    <w:rsid w:val="00B91F55"/>
    <w:rsid w:val="00B92C42"/>
    <w:rsid w:val="00B92F0E"/>
    <w:rsid w:val="00B935B8"/>
    <w:rsid w:val="00B93FEB"/>
    <w:rsid w:val="00B94180"/>
    <w:rsid w:val="00B94BA6"/>
    <w:rsid w:val="00B96009"/>
    <w:rsid w:val="00B96240"/>
    <w:rsid w:val="00B9681E"/>
    <w:rsid w:val="00B96F39"/>
    <w:rsid w:val="00B97289"/>
    <w:rsid w:val="00BA0328"/>
    <w:rsid w:val="00BA0678"/>
    <w:rsid w:val="00BA0772"/>
    <w:rsid w:val="00BA162B"/>
    <w:rsid w:val="00BA176F"/>
    <w:rsid w:val="00BA1DB3"/>
    <w:rsid w:val="00BA2010"/>
    <w:rsid w:val="00BA20E0"/>
    <w:rsid w:val="00BA2151"/>
    <w:rsid w:val="00BA2206"/>
    <w:rsid w:val="00BA2BE1"/>
    <w:rsid w:val="00BA323A"/>
    <w:rsid w:val="00BA330D"/>
    <w:rsid w:val="00BA3A3D"/>
    <w:rsid w:val="00BA3AE2"/>
    <w:rsid w:val="00BA4318"/>
    <w:rsid w:val="00BA451A"/>
    <w:rsid w:val="00BA49C1"/>
    <w:rsid w:val="00BA4A2F"/>
    <w:rsid w:val="00BA4DF7"/>
    <w:rsid w:val="00BA6098"/>
    <w:rsid w:val="00BA6143"/>
    <w:rsid w:val="00BA6BB9"/>
    <w:rsid w:val="00BA70F1"/>
    <w:rsid w:val="00BA7297"/>
    <w:rsid w:val="00BA72AA"/>
    <w:rsid w:val="00BA73B1"/>
    <w:rsid w:val="00BA7CEC"/>
    <w:rsid w:val="00BB08A5"/>
    <w:rsid w:val="00BB1365"/>
    <w:rsid w:val="00BB1ED2"/>
    <w:rsid w:val="00BB2157"/>
    <w:rsid w:val="00BB2640"/>
    <w:rsid w:val="00BB2AD9"/>
    <w:rsid w:val="00BB2CC6"/>
    <w:rsid w:val="00BB2EB5"/>
    <w:rsid w:val="00BB4042"/>
    <w:rsid w:val="00BB478B"/>
    <w:rsid w:val="00BB48EE"/>
    <w:rsid w:val="00BB4F24"/>
    <w:rsid w:val="00BB51DB"/>
    <w:rsid w:val="00BB5392"/>
    <w:rsid w:val="00BB58B3"/>
    <w:rsid w:val="00BB5AD0"/>
    <w:rsid w:val="00BB602F"/>
    <w:rsid w:val="00BB6852"/>
    <w:rsid w:val="00BC0F73"/>
    <w:rsid w:val="00BC1230"/>
    <w:rsid w:val="00BC1262"/>
    <w:rsid w:val="00BC232B"/>
    <w:rsid w:val="00BC26FD"/>
    <w:rsid w:val="00BC29CF"/>
    <w:rsid w:val="00BC3282"/>
    <w:rsid w:val="00BC38EE"/>
    <w:rsid w:val="00BC476A"/>
    <w:rsid w:val="00BC49A1"/>
    <w:rsid w:val="00BC4A48"/>
    <w:rsid w:val="00BC4C8F"/>
    <w:rsid w:val="00BC4CD7"/>
    <w:rsid w:val="00BC4EE1"/>
    <w:rsid w:val="00BC5861"/>
    <w:rsid w:val="00BC62C4"/>
    <w:rsid w:val="00BC6580"/>
    <w:rsid w:val="00BC67F4"/>
    <w:rsid w:val="00BC6DF4"/>
    <w:rsid w:val="00BC6F6D"/>
    <w:rsid w:val="00BC7029"/>
    <w:rsid w:val="00BC70A3"/>
    <w:rsid w:val="00BC70A7"/>
    <w:rsid w:val="00BC70CC"/>
    <w:rsid w:val="00BC7664"/>
    <w:rsid w:val="00BC7AEC"/>
    <w:rsid w:val="00BC7B50"/>
    <w:rsid w:val="00BC7E83"/>
    <w:rsid w:val="00BD0093"/>
    <w:rsid w:val="00BD02AB"/>
    <w:rsid w:val="00BD0625"/>
    <w:rsid w:val="00BD0E1D"/>
    <w:rsid w:val="00BD26D5"/>
    <w:rsid w:val="00BD27F1"/>
    <w:rsid w:val="00BD2B3E"/>
    <w:rsid w:val="00BD30D5"/>
    <w:rsid w:val="00BD343D"/>
    <w:rsid w:val="00BD3AF6"/>
    <w:rsid w:val="00BD3CD2"/>
    <w:rsid w:val="00BD4267"/>
    <w:rsid w:val="00BD431E"/>
    <w:rsid w:val="00BD4753"/>
    <w:rsid w:val="00BD4DA2"/>
    <w:rsid w:val="00BD4F01"/>
    <w:rsid w:val="00BD4F0A"/>
    <w:rsid w:val="00BD5294"/>
    <w:rsid w:val="00BD54A0"/>
    <w:rsid w:val="00BD5812"/>
    <w:rsid w:val="00BD5D19"/>
    <w:rsid w:val="00BD6242"/>
    <w:rsid w:val="00BD6A1E"/>
    <w:rsid w:val="00BD6D77"/>
    <w:rsid w:val="00BE00B9"/>
    <w:rsid w:val="00BE050A"/>
    <w:rsid w:val="00BE07E2"/>
    <w:rsid w:val="00BE1C59"/>
    <w:rsid w:val="00BE34D6"/>
    <w:rsid w:val="00BE3807"/>
    <w:rsid w:val="00BE3E23"/>
    <w:rsid w:val="00BE3F44"/>
    <w:rsid w:val="00BE40B6"/>
    <w:rsid w:val="00BE4199"/>
    <w:rsid w:val="00BE45EF"/>
    <w:rsid w:val="00BE4CA8"/>
    <w:rsid w:val="00BE4D71"/>
    <w:rsid w:val="00BE4FBB"/>
    <w:rsid w:val="00BE5441"/>
    <w:rsid w:val="00BE58A8"/>
    <w:rsid w:val="00BE5D43"/>
    <w:rsid w:val="00BE6025"/>
    <w:rsid w:val="00BE7695"/>
    <w:rsid w:val="00BE78D4"/>
    <w:rsid w:val="00BE7A61"/>
    <w:rsid w:val="00BF0D64"/>
    <w:rsid w:val="00BF1575"/>
    <w:rsid w:val="00BF15EE"/>
    <w:rsid w:val="00BF1FAB"/>
    <w:rsid w:val="00BF3054"/>
    <w:rsid w:val="00BF34F7"/>
    <w:rsid w:val="00BF392E"/>
    <w:rsid w:val="00BF39B2"/>
    <w:rsid w:val="00BF3EA2"/>
    <w:rsid w:val="00BF3FE5"/>
    <w:rsid w:val="00BF45A4"/>
    <w:rsid w:val="00BF48B3"/>
    <w:rsid w:val="00BF552E"/>
    <w:rsid w:val="00BF5900"/>
    <w:rsid w:val="00BF5B59"/>
    <w:rsid w:val="00BF5C21"/>
    <w:rsid w:val="00BF6940"/>
    <w:rsid w:val="00BF6978"/>
    <w:rsid w:val="00BF6F13"/>
    <w:rsid w:val="00BF6FE9"/>
    <w:rsid w:val="00C00628"/>
    <w:rsid w:val="00C00D5D"/>
    <w:rsid w:val="00C0126D"/>
    <w:rsid w:val="00C01582"/>
    <w:rsid w:val="00C01A7B"/>
    <w:rsid w:val="00C01ACB"/>
    <w:rsid w:val="00C029D1"/>
    <w:rsid w:val="00C02C08"/>
    <w:rsid w:val="00C0332C"/>
    <w:rsid w:val="00C03356"/>
    <w:rsid w:val="00C036AE"/>
    <w:rsid w:val="00C041D2"/>
    <w:rsid w:val="00C0527A"/>
    <w:rsid w:val="00C053DB"/>
    <w:rsid w:val="00C05CEA"/>
    <w:rsid w:val="00C05DDB"/>
    <w:rsid w:val="00C05F8B"/>
    <w:rsid w:val="00C06118"/>
    <w:rsid w:val="00C063A1"/>
    <w:rsid w:val="00C0686D"/>
    <w:rsid w:val="00C06A68"/>
    <w:rsid w:val="00C06BD8"/>
    <w:rsid w:val="00C077C6"/>
    <w:rsid w:val="00C07C23"/>
    <w:rsid w:val="00C07C2A"/>
    <w:rsid w:val="00C101AC"/>
    <w:rsid w:val="00C10205"/>
    <w:rsid w:val="00C10306"/>
    <w:rsid w:val="00C11138"/>
    <w:rsid w:val="00C11250"/>
    <w:rsid w:val="00C11965"/>
    <w:rsid w:val="00C1225E"/>
    <w:rsid w:val="00C129DE"/>
    <w:rsid w:val="00C12FC9"/>
    <w:rsid w:val="00C13D13"/>
    <w:rsid w:val="00C140B1"/>
    <w:rsid w:val="00C14103"/>
    <w:rsid w:val="00C1480E"/>
    <w:rsid w:val="00C14EB7"/>
    <w:rsid w:val="00C1545D"/>
    <w:rsid w:val="00C15A28"/>
    <w:rsid w:val="00C15FFD"/>
    <w:rsid w:val="00C16323"/>
    <w:rsid w:val="00C16381"/>
    <w:rsid w:val="00C16388"/>
    <w:rsid w:val="00C16607"/>
    <w:rsid w:val="00C1665B"/>
    <w:rsid w:val="00C17D59"/>
    <w:rsid w:val="00C20EAC"/>
    <w:rsid w:val="00C20F9C"/>
    <w:rsid w:val="00C213FB"/>
    <w:rsid w:val="00C2148E"/>
    <w:rsid w:val="00C22219"/>
    <w:rsid w:val="00C22B4B"/>
    <w:rsid w:val="00C244A8"/>
    <w:rsid w:val="00C24A04"/>
    <w:rsid w:val="00C24F84"/>
    <w:rsid w:val="00C25975"/>
    <w:rsid w:val="00C25E7D"/>
    <w:rsid w:val="00C26230"/>
    <w:rsid w:val="00C269B7"/>
    <w:rsid w:val="00C270A3"/>
    <w:rsid w:val="00C270FB"/>
    <w:rsid w:val="00C2774B"/>
    <w:rsid w:val="00C27D0F"/>
    <w:rsid w:val="00C27E68"/>
    <w:rsid w:val="00C307BE"/>
    <w:rsid w:val="00C31F8A"/>
    <w:rsid w:val="00C32A72"/>
    <w:rsid w:val="00C32D65"/>
    <w:rsid w:val="00C333D6"/>
    <w:rsid w:val="00C33F9D"/>
    <w:rsid w:val="00C341BC"/>
    <w:rsid w:val="00C346BB"/>
    <w:rsid w:val="00C34989"/>
    <w:rsid w:val="00C34A10"/>
    <w:rsid w:val="00C34AED"/>
    <w:rsid w:val="00C34D86"/>
    <w:rsid w:val="00C3517C"/>
    <w:rsid w:val="00C35210"/>
    <w:rsid w:val="00C353FF"/>
    <w:rsid w:val="00C35F1D"/>
    <w:rsid w:val="00C36124"/>
    <w:rsid w:val="00C36521"/>
    <w:rsid w:val="00C36AE8"/>
    <w:rsid w:val="00C373D9"/>
    <w:rsid w:val="00C400FA"/>
    <w:rsid w:val="00C413F6"/>
    <w:rsid w:val="00C41CDD"/>
    <w:rsid w:val="00C41EFB"/>
    <w:rsid w:val="00C426E2"/>
    <w:rsid w:val="00C42B79"/>
    <w:rsid w:val="00C42CE5"/>
    <w:rsid w:val="00C42DE4"/>
    <w:rsid w:val="00C42EF9"/>
    <w:rsid w:val="00C433C7"/>
    <w:rsid w:val="00C43679"/>
    <w:rsid w:val="00C4393B"/>
    <w:rsid w:val="00C43A8F"/>
    <w:rsid w:val="00C45145"/>
    <w:rsid w:val="00C453B6"/>
    <w:rsid w:val="00C4554D"/>
    <w:rsid w:val="00C456A2"/>
    <w:rsid w:val="00C46F22"/>
    <w:rsid w:val="00C47097"/>
    <w:rsid w:val="00C4716E"/>
    <w:rsid w:val="00C47372"/>
    <w:rsid w:val="00C476A3"/>
    <w:rsid w:val="00C47789"/>
    <w:rsid w:val="00C505B7"/>
    <w:rsid w:val="00C50E74"/>
    <w:rsid w:val="00C51122"/>
    <w:rsid w:val="00C51858"/>
    <w:rsid w:val="00C518F0"/>
    <w:rsid w:val="00C51944"/>
    <w:rsid w:val="00C51B4F"/>
    <w:rsid w:val="00C51B54"/>
    <w:rsid w:val="00C529A7"/>
    <w:rsid w:val="00C538CA"/>
    <w:rsid w:val="00C5482D"/>
    <w:rsid w:val="00C54866"/>
    <w:rsid w:val="00C55552"/>
    <w:rsid w:val="00C5593C"/>
    <w:rsid w:val="00C55FD9"/>
    <w:rsid w:val="00C56001"/>
    <w:rsid w:val="00C56250"/>
    <w:rsid w:val="00C5632C"/>
    <w:rsid w:val="00C5664D"/>
    <w:rsid w:val="00C56699"/>
    <w:rsid w:val="00C56E8A"/>
    <w:rsid w:val="00C5712A"/>
    <w:rsid w:val="00C57338"/>
    <w:rsid w:val="00C57878"/>
    <w:rsid w:val="00C57D2C"/>
    <w:rsid w:val="00C6238D"/>
    <w:rsid w:val="00C632D1"/>
    <w:rsid w:val="00C63754"/>
    <w:rsid w:val="00C63A85"/>
    <w:rsid w:val="00C644B2"/>
    <w:rsid w:val="00C646F9"/>
    <w:rsid w:val="00C64A21"/>
    <w:rsid w:val="00C65013"/>
    <w:rsid w:val="00C653F4"/>
    <w:rsid w:val="00C65A2D"/>
    <w:rsid w:val="00C65C05"/>
    <w:rsid w:val="00C66431"/>
    <w:rsid w:val="00C665FF"/>
    <w:rsid w:val="00C66618"/>
    <w:rsid w:val="00C66B14"/>
    <w:rsid w:val="00C66D67"/>
    <w:rsid w:val="00C6763B"/>
    <w:rsid w:val="00C678D7"/>
    <w:rsid w:val="00C67F11"/>
    <w:rsid w:val="00C7038B"/>
    <w:rsid w:val="00C70DC7"/>
    <w:rsid w:val="00C712FB"/>
    <w:rsid w:val="00C7163B"/>
    <w:rsid w:val="00C71C75"/>
    <w:rsid w:val="00C727D4"/>
    <w:rsid w:val="00C72E59"/>
    <w:rsid w:val="00C7307E"/>
    <w:rsid w:val="00C731F2"/>
    <w:rsid w:val="00C73235"/>
    <w:rsid w:val="00C74B16"/>
    <w:rsid w:val="00C75527"/>
    <w:rsid w:val="00C760C0"/>
    <w:rsid w:val="00C76151"/>
    <w:rsid w:val="00C761DF"/>
    <w:rsid w:val="00C7623F"/>
    <w:rsid w:val="00C7625C"/>
    <w:rsid w:val="00C76973"/>
    <w:rsid w:val="00C773A2"/>
    <w:rsid w:val="00C77883"/>
    <w:rsid w:val="00C77ACA"/>
    <w:rsid w:val="00C77C1E"/>
    <w:rsid w:val="00C80229"/>
    <w:rsid w:val="00C80838"/>
    <w:rsid w:val="00C80D52"/>
    <w:rsid w:val="00C81951"/>
    <w:rsid w:val="00C82028"/>
    <w:rsid w:val="00C82214"/>
    <w:rsid w:val="00C82E9A"/>
    <w:rsid w:val="00C82F1D"/>
    <w:rsid w:val="00C82FEA"/>
    <w:rsid w:val="00C8306A"/>
    <w:rsid w:val="00C830A1"/>
    <w:rsid w:val="00C83416"/>
    <w:rsid w:val="00C83B88"/>
    <w:rsid w:val="00C83B9C"/>
    <w:rsid w:val="00C83FD6"/>
    <w:rsid w:val="00C84978"/>
    <w:rsid w:val="00C84E3E"/>
    <w:rsid w:val="00C85481"/>
    <w:rsid w:val="00C86002"/>
    <w:rsid w:val="00C8636A"/>
    <w:rsid w:val="00C86839"/>
    <w:rsid w:val="00C86BBD"/>
    <w:rsid w:val="00C87133"/>
    <w:rsid w:val="00C87687"/>
    <w:rsid w:val="00C90791"/>
    <w:rsid w:val="00C90AAA"/>
    <w:rsid w:val="00C90C5A"/>
    <w:rsid w:val="00C90E2F"/>
    <w:rsid w:val="00C912E6"/>
    <w:rsid w:val="00C9135C"/>
    <w:rsid w:val="00C9284C"/>
    <w:rsid w:val="00C93107"/>
    <w:rsid w:val="00C934D6"/>
    <w:rsid w:val="00C93F38"/>
    <w:rsid w:val="00C93F65"/>
    <w:rsid w:val="00C940BD"/>
    <w:rsid w:val="00C94A2E"/>
    <w:rsid w:val="00C94E85"/>
    <w:rsid w:val="00C952C7"/>
    <w:rsid w:val="00C9556E"/>
    <w:rsid w:val="00C95C82"/>
    <w:rsid w:val="00C95CDC"/>
    <w:rsid w:val="00C96198"/>
    <w:rsid w:val="00C964C3"/>
    <w:rsid w:val="00C964D6"/>
    <w:rsid w:val="00C96A03"/>
    <w:rsid w:val="00C96ABD"/>
    <w:rsid w:val="00C97018"/>
    <w:rsid w:val="00C97234"/>
    <w:rsid w:val="00C9747B"/>
    <w:rsid w:val="00CA0252"/>
    <w:rsid w:val="00CA04A9"/>
    <w:rsid w:val="00CA076D"/>
    <w:rsid w:val="00CA07AD"/>
    <w:rsid w:val="00CA0B67"/>
    <w:rsid w:val="00CA1016"/>
    <w:rsid w:val="00CA154A"/>
    <w:rsid w:val="00CA1D2F"/>
    <w:rsid w:val="00CA22A3"/>
    <w:rsid w:val="00CA24FA"/>
    <w:rsid w:val="00CA2C23"/>
    <w:rsid w:val="00CA2F0A"/>
    <w:rsid w:val="00CA3DEF"/>
    <w:rsid w:val="00CA4BFF"/>
    <w:rsid w:val="00CA4CBA"/>
    <w:rsid w:val="00CA524A"/>
    <w:rsid w:val="00CA55E4"/>
    <w:rsid w:val="00CA5E1C"/>
    <w:rsid w:val="00CA6347"/>
    <w:rsid w:val="00CA6747"/>
    <w:rsid w:val="00CA771E"/>
    <w:rsid w:val="00CA776E"/>
    <w:rsid w:val="00CB03A1"/>
    <w:rsid w:val="00CB0F07"/>
    <w:rsid w:val="00CB27E5"/>
    <w:rsid w:val="00CB2B3E"/>
    <w:rsid w:val="00CB2BF6"/>
    <w:rsid w:val="00CB3E1D"/>
    <w:rsid w:val="00CB4073"/>
    <w:rsid w:val="00CB50BE"/>
    <w:rsid w:val="00CB55E3"/>
    <w:rsid w:val="00CB5B61"/>
    <w:rsid w:val="00CB5F74"/>
    <w:rsid w:val="00CB758E"/>
    <w:rsid w:val="00CB7869"/>
    <w:rsid w:val="00CB7DA7"/>
    <w:rsid w:val="00CC062C"/>
    <w:rsid w:val="00CC0C98"/>
    <w:rsid w:val="00CC10E8"/>
    <w:rsid w:val="00CC22EE"/>
    <w:rsid w:val="00CC23D1"/>
    <w:rsid w:val="00CC341C"/>
    <w:rsid w:val="00CC3425"/>
    <w:rsid w:val="00CC3566"/>
    <w:rsid w:val="00CC3717"/>
    <w:rsid w:val="00CC4ED7"/>
    <w:rsid w:val="00CC5504"/>
    <w:rsid w:val="00CC58B5"/>
    <w:rsid w:val="00CC6587"/>
    <w:rsid w:val="00CC6B9E"/>
    <w:rsid w:val="00CC7924"/>
    <w:rsid w:val="00CC7BF4"/>
    <w:rsid w:val="00CD0DB1"/>
    <w:rsid w:val="00CD13A1"/>
    <w:rsid w:val="00CD14EC"/>
    <w:rsid w:val="00CD1A3D"/>
    <w:rsid w:val="00CD1B55"/>
    <w:rsid w:val="00CD1BFA"/>
    <w:rsid w:val="00CD214E"/>
    <w:rsid w:val="00CD31AA"/>
    <w:rsid w:val="00CD37A4"/>
    <w:rsid w:val="00CD3BDE"/>
    <w:rsid w:val="00CD4E72"/>
    <w:rsid w:val="00CD5688"/>
    <w:rsid w:val="00CD6151"/>
    <w:rsid w:val="00CD66B2"/>
    <w:rsid w:val="00CD68BE"/>
    <w:rsid w:val="00CD716B"/>
    <w:rsid w:val="00CD7D92"/>
    <w:rsid w:val="00CE0284"/>
    <w:rsid w:val="00CE06C1"/>
    <w:rsid w:val="00CE0B25"/>
    <w:rsid w:val="00CE0C99"/>
    <w:rsid w:val="00CE0F80"/>
    <w:rsid w:val="00CE0FFD"/>
    <w:rsid w:val="00CE1580"/>
    <w:rsid w:val="00CE160F"/>
    <w:rsid w:val="00CE1649"/>
    <w:rsid w:val="00CE16EE"/>
    <w:rsid w:val="00CE1B63"/>
    <w:rsid w:val="00CE1C63"/>
    <w:rsid w:val="00CE24C3"/>
    <w:rsid w:val="00CE26BB"/>
    <w:rsid w:val="00CE31B2"/>
    <w:rsid w:val="00CE375E"/>
    <w:rsid w:val="00CE4558"/>
    <w:rsid w:val="00CE4742"/>
    <w:rsid w:val="00CE491D"/>
    <w:rsid w:val="00CE5154"/>
    <w:rsid w:val="00CE605B"/>
    <w:rsid w:val="00CE6FE5"/>
    <w:rsid w:val="00CE71F6"/>
    <w:rsid w:val="00CE788C"/>
    <w:rsid w:val="00CF02D6"/>
    <w:rsid w:val="00CF032D"/>
    <w:rsid w:val="00CF04B0"/>
    <w:rsid w:val="00CF07BE"/>
    <w:rsid w:val="00CF0990"/>
    <w:rsid w:val="00CF0C5E"/>
    <w:rsid w:val="00CF19DC"/>
    <w:rsid w:val="00CF2B73"/>
    <w:rsid w:val="00CF2BE6"/>
    <w:rsid w:val="00CF3060"/>
    <w:rsid w:val="00CF3808"/>
    <w:rsid w:val="00CF3A0B"/>
    <w:rsid w:val="00CF3B2B"/>
    <w:rsid w:val="00CF3F34"/>
    <w:rsid w:val="00CF51C5"/>
    <w:rsid w:val="00CF5BD3"/>
    <w:rsid w:val="00CF613E"/>
    <w:rsid w:val="00CF6690"/>
    <w:rsid w:val="00D008A4"/>
    <w:rsid w:val="00D009CA"/>
    <w:rsid w:val="00D00AF7"/>
    <w:rsid w:val="00D01190"/>
    <w:rsid w:val="00D0159B"/>
    <w:rsid w:val="00D027E4"/>
    <w:rsid w:val="00D03041"/>
    <w:rsid w:val="00D0335C"/>
    <w:rsid w:val="00D035A0"/>
    <w:rsid w:val="00D035C4"/>
    <w:rsid w:val="00D03927"/>
    <w:rsid w:val="00D03FBA"/>
    <w:rsid w:val="00D04021"/>
    <w:rsid w:val="00D04D3C"/>
    <w:rsid w:val="00D04E21"/>
    <w:rsid w:val="00D04FB2"/>
    <w:rsid w:val="00D05017"/>
    <w:rsid w:val="00D057A4"/>
    <w:rsid w:val="00D06765"/>
    <w:rsid w:val="00D0749D"/>
    <w:rsid w:val="00D075C4"/>
    <w:rsid w:val="00D1024C"/>
    <w:rsid w:val="00D106F7"/>
    <w:rsid w:val="00D111AE"/>
    <w:rsid w:val="00D11569"/>
    <w:rsid w:val="00D11799"/>
    <w:rsid w:val="00D11D20"/>
    <w:rsid w:val="00D121C8"/>
    <w:rsid w:val="00D12DB7"/>
    <w:rsid w:val="00D1385F"/>
    <w:rsid w:val="00D13A8C"/>
    <w:rsid w:val="00D13CE4"/>
    <w:rsid w:val="00D1464F"/>
    <w:rsid w:val="00D14A36"/>
    <w:rsid w:val="00D150B0"/>
    <w:rsid w:val="00D16348"/>
    <w:rsid w:val="00D167B6"/>
    <w:rsid w:val="00D16A3C"/>
    <w:rsid w:val="00D16B0A"/>
    <w:rsid w:val="00D16E92"/>
    <w:rsid w:val="00D2078D"/>
    <w:rsid w:val="00D207E1"/>
    <w:rsid w:val="00D20C6F"/>
    <w:rsid w:val="00D21D59"/>
    <w:rsid w:val="00D21DF0"/>
    <w:rsid w:val="00D22018"/>
    <w:rsid w:val="00D22753"/>
    <w:rsid w:val="00D22EF9"/>
    <w:rsid w:val="00D23D1D"/>
    <w:rsid w:val="00D24A43"/>
    <w:rsid w:val="00D24B00"/>
    <w:rsid w:val="00D24EBD"/>
    <w:rsid w:val="00D24F74"/>
    <w:rsid w:val="00D250C1"/>
    <w:rsid w:val="00D2530D"/>
    <w:rsid w:val="00D261A7"/>
    <w:rsid w:val="00D2641E"/>
    <w:rsid w:val="00D264A4"/>
    <w:rsid w:val="00D26840"/>
    <w:rsid w:val="00D26AE9"/>
    <w:rsid w:val="00D26D02"/>
    <w:rsid w:val="00D26D2B"/>
    <w:rsid w:val="00D27249"/>
    <w:rsid w:val="00D273B8"/>
    <w:rsid w:val="00D27618"/>
    <w:rsid w:val="00D27851"/>
    <w:rsid w:val="00D27913"/>
    <w:rsid w:val="00D27F96"/>
    <w:rsid w:val="00D31308"/>
    <w:rsid w:val="00D31B72"/>
    <w:rsid w:val="00D31BEF"/>
    <w:rsid w:val="00D322C7"/>
    <w:rsid w:val="00D322DA"/>
    <w:rsid w:val="00D32D27"/>
    <w:rsid w:val="00D330A9"/>
    <w:rsid w:val="00D33B0D"/>
    <w:rsid w:val="00D348A7"/>
    <w:rsid w:val="00D34A59"/>
    <w:rsid w:val="00D34A75"/>
    <w:rsid w:val="00D34D16"/>
    <w:rsid w:val="00D35129"/>
    <w:rsid w:val="00D35403"/>
    <w:rsid w:val="00D35779"/>
    <w:rsid w:val="00D35806"/>
    <w:rsid w:val="00D35A18"/>
    <w:rsid w:val="00D35AEE"/>
    <w:rsid w:val="00D35C78"/>
    <w:rsid w:val="00D35EFB"/>
    <w:rsid w:val="00D3631F"/>
    <w:rsid w:val="00D36945"/>
    <w:rsid w:val="00D3705B"/>
    <w:rsid w:val="00D37526"/>
    <w:rsid w:val="00D40044"/>
    <w:rsid w:val="00D40217"/>
    <w:rsid w:val="00D4038C"/>
    <w:rsid w:val="00D405E4"/>
    <w:rsid w:val="00D40745"/>
    <w:rsid w:val="00D4092B"/>
    <w:rsid w:val="00D40D7C"/>
    <w:rsid w:val="00D40F84"/>
    <w:rsid w:val="00D41FF0"/>
    <w:rsid w:val="00D420A1"/>
    <w:rsid w:val="00D421FF"/>
    <w:rsid w:val="00D428BD"/>
    <w:rsid w:val="00D43D48"/>
    <w:rsid w:val="00D44182"/>
    <w:rsid w:val="00D441CF"/>
    <w:rsid w:val="00D44618"/>
    <w:rsid w:val="00D449C6"/>
    <w:rsid w:val="00D44E24"/>
    <w:rsid w:val="00D44E52"/>
    <w:rsid w:val="00D45013"/>
    <w:rsid w:val="00D45395"/>
    <w:rsid w:val="00D45553"/>
    <w:rsid w:val="00D45778"/>
    <w:rsid w:val="00D464BE"/>
    <w:rsid w:val="00D467B8"/>
    <w:rsid w:val="00D47242"/>
    <w:rsid w:val="00D477C8"/>
    <w:rsid w:val="00D47B84"/>
    <w:rsid w:val="00D50D16"/>
    <w:rsid w:val="00D5109B"/>
    <w:rsid w:val="00D519F3"/>
    <w:rsid w:val="00D51CCF"/>
    <w:rsid w:val="00D51D92"/>
    <w:rsid w:val="00D51FE3"/>
    <w:rsid w:val="00D52A96"/>
    <w:rsid w:val="00D52ACE"/>
    <w:rsid w:val="00D530B1"/>
    <w:rsid w:val="00D5333E"/>
    <w:rsid w:val="00D53A54"/>
    <w:rsid w:val="00D53ADC"/>
    <w:rsid w:val="00D53F53"/>
    <w:rsid w:val="00D544A7"/>
    <w:rsid w:val="00D54BD1"/>
    <w:rsid w:val="00D555BE"/>
    <w:rsid w:val="00D55785"/>
    <w:rsid w:val="00D56113"/>
    <w:rsid w:val="00D561C2"/>
    <w:rsid w:val="00D56288"/>
    <w:rsid w:val="00D563E0"/>
    <w:rsid w:val="00D56584"/>
    <w:rsid w:val="00D5659F"/>
    <w:rsid w:val="00D56755"/>
    <w:rsid w:val="00D570B0"/>
    <w:rsid w:val="00D57521"/>
    <w:rsid w:val="00D57F68"/>
    <w:rsid w:val="00D601D2"/>
    <w:rsid w:val="00D6024F"/>
    <w:rsid w:val="00D604D0"/>
    <w:rsid w:val="00D60F59"/>
    <w:rsid w:val="00D6107D"/>
    <w:rsid w:val="00D613D9"/>
    <w:rsid w:val="00D61B7C"/>
    <w:rsid w:val="00D61F0B"/>
    <w:rsid w:val="00D62341"/>
    <w:rsid w:val="00D631AE"/>
    <w:rsid w:val="00D636D8"/>
    <w:rsid w:val="00D63B7E"/>
    <w:rsid w:val="00D6400F"/>
    <w:rsid w:val="00D640A0"/>
    <w:rsid w:val="00D64894"/>
    <w:rsid w:val="00D64A24"/>
    <w:rsid w:val="00D64EB4"/>
    <w:rsid w:val="00D65A21"/>
    <w:rsid w:val="00D65ED0"/>
    <w:rsid w:val="00D6616E"/>
    <w:rsid w:val="00D66471"/>
    <w:rsid w:val="00D66C43"/>
    <w:rsid w:val="00D67073"/>
    <w:rsid w:val="00D6750C"/>
    <w:rsid w:val="00D6763D"/>
    <w:rsid w:val="00D67934"/>
    <w:rsid w:val="00D70964"/>
    <w:rsid w:val="00D7096B"/>
    <w:rsid w:val="00D723C6"/>
    <w:rsid w:val="00D72D19"/>
    <w:rsid w:val="00D72D38"/>
    <w:rsid w:val="00D72D5F"/>
    <w:rsid w:val="00D73516"/>
    <w:rsid w:val="00D73699"/>
    <w:rsid w:val="00D73E1B"/>
    <w:rsid w:val="00D74481"/>
    <w:rsid w:val="00D74934"/>
    <w:rsid w:val="00D75495"/>
    <w:rsid w:val="00D75602"/>
    <w:rsid w:val="00D75855"/>
    <w:rsid w:val="00D759A8"/>
    <w:rsid w:val="00D75BB6"/>
    <w:rsid w:val="00D76825"/>
    <w:rsid w:val="00D76B3D"/>
    <w:rsid w:val="00D776A4"/>
    <w:rsid w:val="00D77C29"/>
    <w:rsid w:val="00D80604"/>
    <w:rsid w:val="00D809E2"/>
    <w:rsid w:val="00D80EE3"/>
    <w:rsid w:val="00D81734"/>
    <w:rsid w:val="00D819AF"/>
    <w:rsid w:val="00D82D6C"/>
    <w:rsid w:val="00D83229"/>
    <w:rsid w:val="00D84EEE"/>
    <w:rsid w:val="00D85300"/>
    <w:rsid w:val="00D861A2"/>
    <w:rsid w:val="00D863B8"/>
    <w:rsid w:val="00D86D4A"/>
    <w:rsid w:val="00D87A12"/>
    <w:rsid w:val="00D87E50"/>
    <w:rsid w:val="00D87F73"/>
    <w:rsid w:val="00D87F92"/>
    <w:rsid w:val="00D90227"/>
    <w:rsid w:val="00D90709"/>
    <w:rsid w:val="00D9225A"/>
    <w:rsid w:val="00D92595"/>
    <w:rsid w:val="00D92FB7"/>
    <w:rsid w:val="00D93723"/>
    <w:rsid w:val="00D93783"/>
    <w:rsid w:val="00D94319"/>
    <w:rsid w:val="00D94820"/>
    <w:rsid w:val="00D94C51"/>
    <w:rsid w:val="00D94E91"/>
    <w:rsid w:val="00D95634"/>
    <w:rsid w:val="00D9597A"/>
    <w:rsid w:val="00D95E06"/>
    <w:rsid w:val="00D9620F"/>
    <w:rsid w:val="00D97603"/>
    <w:rsid w:val="00D978AA"/>
    <w:rsid w:val="00D97D50"/>
    <w:rsid w:val="00DA00A8"/>
    <w:rsid w:val="00DA023C"/>
    <w:rsid w:val="00DA0338"/>
    <w:rsid w:val="00DA0852"/>
    <w:rsid w:val="00DA160D"/>
    <w:rsid w:val="00DA1739"/>
    <w:rsid w:val="00DA1790"/>
    <w:rsid w:val="00DA18FC"/>
    <w:rsid w:val="00DA1E37"/>
    <w:rsid w:val="00DA1EF9"/>
    <w:rsid w:val="00DA2330"/>
    <w:rsid w:val="00DA279D"/>
    <w:rsid w:val="00DA4329"/>
    <w:rsid w:val="00DA4736"/>
    <w:rsid w:val="00DA49CF"/>
    <w:rsid w:val="00DA4C87"/>
    <w:rsid w:val="00DA55A3"/>
    <w:rsid w:val="00DA5EE6"/>
    <w:rsid w:val="00DA5F5B"/>
    <w:rsid w:val="00DA5FD9"/>
    <w:rsid w:val="00DA6191"/>
    <w:rsid w:val="00DA65AB"/>
    <w:rsid w:val="00DA66D8"/>
    <w:rsid w:val="00DA68EA"/>
    <w:rsid w:val="00DA6946"/>
    <w:rsid w:val="00DA7B29"/>
    <w:rsid w:val="00DA7F1E"/>
    <w:rsid w:val="00DB032C"/>
    <w:rsid w:val="00DB0DB5"/>
    <w:rsid w:val="00DB1071"/>
    <w:rsid w:val="00DB1552"/>
    <w:rsid w:val="00DB19B3"/>
    <w:rsid w:val="00DB3703"/>
    <w:rsid w:val="00DB378B"/>
    <w:rsid w:val="00DB3AB7"/>
    <w:rsid w:val="00DB478F"/>
    <w:rsid w:val="00DB48DD"/>
    <w:rsid w:val="00DB5131"/>
    <w:rsid w:val="00DB5912"/>
    <w:rsid w:val="00DB6584"/>
    <w:rsid w:val="00DB6EDB"/>
    <w:rsid w:val="00DB7002"/>
    <w:rsid w:val="00DB79AE"/>
    <w:rsid w:val="00DC09CC"/>
    <w:rsid w:val="00DC0CCE"/>
    <w:rsid w:val="00DC1FA0"/>
    <w:rsid w:val="00DC20FB"/>
    <w:rsid w:val="00DC41B8"/>
    <w:rsid w:val="00DC4B79"/>
    <w:rsid w:val="00DC53FC"/>
    <w:rsid w:val="00DC5943"/>
    <w:rsid w:val="00DC5A1F"/>
    <w:rsid w:val="00DC5F40"/>
    <w:rsid w:val="00DC6668"/>
    <w:rsid w:val="00DC6903"/>
    <w:rsid w:val="00DC69B3"/>
    <w:rsid w:val="00DC74FC"/>
    <w:rsid w:val="00DD0998"/>
    <w:rsid w:val="00DD0A06"/>
    <w:rsid w:val="00DD0AE2"/>
    <w:rsid w:val="00DD19CE"/>
    <w:rsid w:val="00DD1C6B"/>
    <w:rsid w:val="00DD2690"/>
    <w:rsid w:val="00DD2A9E"/>
    <w:rsid w:val="00DD2FAD"/>
    <w:rsid w:val="00DD3427"/>
    <w:rsid w:val="00DD3BA4"/>
    <w:rsid w:val="00DD47F1"/>
    <w:rsid w:val="00DD573A"/>
    <w:rsid w:val="00DD5FA6"/>
    <w:rsid w:val="00DD6B24"/>
    <w:rsid w:val="00DD6E25"/>
    <w:rsid w:val="00DD7201"/>
    <w:rsid w:val="00DD79A7"/>
    <w:rsid w:val="00DD7C55"/>
    <w:rsid w:val="00DE0896"/>
    <w:rsid w:val="00DE0B7E"/>
    <w:rsid w:val="00DE0CFC"/>
    <w:rsid w:val="00DE1B9D"/>
    <w:rsid w:val="00DE1FD5"/>
    <w:rsid w:val="00DE2402"/>
    <w:rsid w:val="00DE2802"/>
    <w:rsid w:val="00DE2F3A"/>
    <w:rsid w:val="00DE3464"/>
    <w:rsid w:val="00DE35BE"/>
    <w:rsid w:val="00DE40E3"/>
    <w:rsid w:val="00DE41A3"/>
    <w:rsid w:val="00DE48E1"/>
    <w:rsid w:val="00DE4BFB"/>
    <w:rsid w:val="00DE52E2"/>
    <w:rsid w:val="00DE59E1"/>
    <w:rsid w:val="00DE5F1E"/>
    <w:rsid w:val="00DE5FE5"/>
    <w:rsid w:val="00DE6201"/>
    <w:rsid w:val="00DE6B64"/>
    <w:rsid w:val="00DE7382"/>
    <w:rsid w:val="00DE7A14"/>
    <w:rsid w:val="00DF0D66"/>
    <w:rsid w:val="00DF16B6"/>
    <w:rsid w:val="00DF18AD"/>
    <w:rsid w:val="00DF2B06"/>
    <w:rsid w:val="00DF30C1"/>
    <w:rsid w:val="00DF31B8"/>
    <w:rsid w:val="00DF3295"/>
    <w:rsid w:val="00DF397B"/>
    <w:rsid w:val="00DF402A"/>
    <w:rsid w:val="00DF417B"/>
    <w:rsid w:val="00DF4742"/>
    <w:rsid w:val="00DF4FE9"/>
    <w:rsid w:val="00DF7CB0"/>
    <w:rsid w:val="00DF7FFA"/>
    <w:rsid w:val="00E00045"/>
    <w:rsid w:val="00E00756"/>
    <w:rsid w:val="00E007D6"/>
    <w:rsid w:val="00E00BE0"/>
    <w:rsid w:val="00E010E4"/>
    <w:rsid w:val="00E011BF"/>
    <w:rsid w:val="00E0143C"/>
    <w:rsid w:val="00E01525"/>
    <w:rsid w:val="00E0160E"/>
    <w:rsid w:val="00E0277A"/>
    <w:rsid w:val="00E03059"/>
    <w:rsid w:val="00E034E2"/>
    <w:rsid w:val="00E0397E"/>
    <w:rsid w:val="00E03E7B"/>
    <w:rsid w:val="00E03EEC"/>
    <w:rsid w:val="00E0420A"/>
    <w:rsid w:val="00E04450"/>
    <w:rsid w:val="00E049F8"/>
    <w:rsid w:val="00E0507D"/>
    <w:rsid w:val="00E0540F"/>
    <w:rsid w:val="00E056B5"/>
    <w:rsid w:val="00E0592A"/>
    <w:rsid w:val="00E06CCD"/>
    <w:rsid w:val="00E06EA7"/>
    <w:rsid w:val="00E06F72"/>
    <w:rsid w:val="00E07BE2"/>
    <w:rsid w:val="00E07C5F"/>
    <w:rsid w:val="00E07D82"/>
    <w:rsid w:val="00E10E68"/>
    <w:rsid w:val="00E11AF9"/>
    <w:rsid w:val="00E1376D"/>
    <w:rsid w:val="00E1428C"/>
    <w:rsid w:val="00E1460C"/>
    <w:rsid w:val="00E14EBD"/>
    <w:rsid w:val="00E1555B"/>
    <w:rsid w:val="00E15A51"/>
    <w:rsid w:val="00E15A5E"/>
    <w:rsid w:val="00E15B84"/>
    <w:rsid w:val="00E164E0"/>
    <w:rsid w:val="00E165B9"/>
    <w:rsid w:val="00E16B7F"/>
    <w:rsid w:val="00E16DB4"/>
    <w:rsid w:val="00E16E40"/>
    <w:rsid w:val="00E1742B"/>
    <w:rsid w:val="00E17A1E"/>
    <w:rsid w:val="00E17A68"/>
    <w:rsid w:val="00E17BBB"/>
    <w:rsid w:val="00E2018B"/>
    <w:rsid w:val="00E218C5"/>
    <w:rsid w:val="00E21B6A"/>
    <w:rsid w:val="00E21B80"/>
    <w:rsid w:val="00E2256A"/>
    <w:rsid w:val="00E2289F"/>
    <w:rsid w:val="00E22CE3"/>
    <w:rsid w:val="00E2310C"/>
    <w:rsid w:val="00E23431"/>
    <w:rsid w:val="00E2438B"/>
    <w:rsid w:val="00E2454A"/>
    <w:rsid w:val="00E247E5"/>
    <w:rsid w:val="00E24814"/>
    <w:rsid w:val="00E24FEF"/>
    <w:rsid w:val="00E257FE"/>
    <w:rsid w:val="00E25A64"/>
    <w:rsid w:val="00E26C1D"/>
    <w:rsid w:val="00E27402"/>
    <w:rsid w:val="00E27AC3"/>
    <w:rsid w:val="00E27D31"/>
    <w:rsid w:val="00E27E75"/>
    <w:rsid w:val="00E3085A"/>
    <w:rsid w:val="00E30A34"/>
    <w:rsid w:val="00E30A88"/>
    <w:rsid w:val="00E32267"/>
    <w:rsid w:val="00E32B21"/>
    <w:rsid w:val="00E33BE7"/>
    <w:rsid w:val="00E34547"/>
    <w:rsid w:val="00E34CF8"/>
    <w:rsid w:val="00E356BC"/>
    <w:rsid w:val="00E356EF"/>
    <w:rsid w:val="00E358C0"/>
    <w:rsid w:val="00E35B73"/>
    <w:rsid w:val="00E36429"/>
    <w:rsid w:val="00E3716E"/>
    <w:rsid w:val="00E37245"/>
    <w:rsid w:val="00E37D16"/>
    <w:rsid w:val="00E400D6"/>
    <w:rsid w:val="00E40FF3"/>
    <w:rsid w:val="00E41849"/>
    <w:rsid w:val="00E41C6E"/>
    <w:rsid w:val="00E41EEF"/>
    <w:rsid w:val="00E42D41"/>
    <w:rsid w:val="00E430F3"/>
    <w:rsid w:val="00E437E2"/>
    <w:rsid w:val="00E43CA1"/>
    <w:rsid w:val="00E43D8E"/>
    <w:rsid w:val="00E43ECF"/>
    <w:rsid w:val="00E441B4"/>
    <w:rsid w:val="00E44C2F"/>
    <w:rsid w:val="00E4500A"/>
    <w:rsid w:val="00E453C3"/>
    <w:rsid w:val="00E457B8"/>
    <w:rsid w:val="00E458A6"/>
    <w:rsid w:val="00E4596C"/>
    <w:rsid w:val="00E45A0B"/>
    <w:rsid w:val="00E46005"/>
    <w:rsid w:val="00E46221"/>
    <w:rsid w:val="00E46813"/>
    <w:rsid w:val="00E46818"/>
    <w:rsid w:val="00E46DF5"/>
    <w:rsid w:val="00E4701C"/>
    <w:rsid w:val="00E478FF"/>
    <w:rsid w:val="00E502D9"/>
    <w:rsid w:val="00E5094F"/>
    <w:rsid w:val="00E50BC5"/>
    <w:rsid w:val="00E5120D"/>
    <w:rsid w:val="00E51AC2"/>
    <w:rsid w:val="00E51BC6"/>
    <w:rsid w:val="00E51F2B"/>
    <w:rsid w:val="00E52374"/>
    <w:rsid w:val="00E52C53"/>
    <w:rsid w:val="00E52DD0"/>
    <w:rsid w:val="00E532F3"/>
    <w:rsid w:val="00E540E2"/>
    <w:rsid w:val="00E54352"/>
    <w:rsid w:val="00E549B4"/>
    <w:rsid w:val="00E54A06"/>
    <w:rsid w:val="00E54CB3"/>
    <w:rsid w:val="00E551AC"/>
    <w:rsid w:val="00E55480"/>
    <w:rsid w:val="00E56310"/>
    <w:rsid w:val="00E56623"/>
    <w:rsid w:val="00E60755"/>
    <w:rsid w:val="00E60776"/>
    <w:rsid w:val="00E60B47"/>
    <w:rsid w:val="00E611EF"/>
    <w:rsid w:val="00E61BF2"/>
    <w:rsid w:val="00E61EDC"/>
    <w:rsid w:val="00E620D6"/>
    <w:rsid w:val="00E6213B"/>
    <w:rsid w:val="00E62436"/>
    <w:rsid w:val="00E625D6"/>
    <w:rsid w:val="00E62D52"/>
    <w:rsid w:val="00E6358A"/>
    <w:rsid w:val="00E638D7"/>
    <w:rsid w:val="00E63C2D"/>
    <w:rsid w:val="00E63C65"/>
    <w:rsid w:val="00E64619"/>
    <w:rsid w:val="00E646B0"/>
    <w:rsid w:val="00E647B7"/>
    <w:rsid w:val="00E64FD7"/>
    <w:rsid w:val="00E65054"/>
    <w:rsid w:val="00E65118"/>
    <w:rsid w:val="00E65446"/>
    <w:rsid w:val="00E67640"/>
    <w:rsid w:val="00E67B73"/>
    <w:rsid w:val="00E70568"/>
    <w:rsid w:val="00E71134"/>
    <w:rsid w:val="00E712C8"/>
    <w:rsid w:val="00E71873"/>
    <w:rsid w:val="00E722B8"/>
    <w:rsid w:val="00E72C77"/>
    <w:rsid w:val="00E7311A"/>
    <w:rsid w:val="00E7340B"/>
    <w:rsid w:val="00E7415C"/>
    <w:rsid w:val="00E74BDD"/>
    <w:rsid w:val="00E75893"/>
    <w:rsid w:val="00E75B65"/>
    <w:rsid w:val="00E75D90"/>
    <w:rsid w:val="00E75EDF"/>
    <w:rsid w:val="00E76899"/>
    <w:rsid w:val="00E777BA"/>
    <w:rsid w:val="00E77D12"/>
    <w:rsid w:val="00E77F4F"/>
    <w:rsid w:val="00E807FC"/>
    <w:rsid w:val="00E80BDC"/>
    <w:rsid w:val="00E81156"/>
    <w:rsid w:val="00E8152F"/>
    <w:rsid w:val="00E81833"/>
    <w:rsid w:val="00E81942"/>
    <w:rsid w:val="00E81CD1"/>
    <w:rsid w:val="00E81CD3"/>
    <w:rsid w:val="00E82E33"/>
    <w:rsid w:val="00E82F2D"/>
    <w:rsid w:val="00E83638"/>
    <w:rsid w:val="00E8372D"/>
    <w:rsid w:val="00E843EA"/>
    <w:rsid w:val="00E845E8"/>
    <w:rsid w:val="00E84610"/>
    <w:rsid w:val="00E8493F"/>
    <w:rsid w:val="00E851AD"/>
    <w:rsid w:val="00E858AC"/>
    <w:rsid w:val="00E85914"/>
    <w:rsid w:val="00E8625F"/>
    <w:rsid w:val="00E8647F"/>
    <w:rsid w:val="00E8668E"/>
    <w:rsid w:val="00E867EE"/>
    <w:rsid w:val="00E86C3B"/>
    <w:rsid w:val="00E86ED1"/>
    <w:rsid w:val="00E870CF"/>
    <w:rsid w:val="00E87130"/>
    <w:rsid w:val="00E872ED"/>
    <w:rsid w:val="00E87AA2"/>
    <w:rsid w:val="00E90468"/>
    <w:rsid w:val="00E904ED"/>
    <w:rsid w:val="00E90E19"/>
    <w:rsid w:val="00E919E5"/>
    <w:rsid w:val="00E921CD"/>
    <w:rsid w:val="00E923C2"/>
    <w:rsid w:val="00E9265C"/>
    <w:rsid w:val="00E9265D"/>
    <w:rsid w:val="00E92BF1"/>
    <w:rsid w:val="00E938F6"/>
    <w:rsid w:val="00E93C22"/>
    <w:rsid w:val="00E94A4F"/>
    <w:rsid w:val="00E94F38"/>
    <w:rsid w:val="00E95920"/>
    <w:rsid w:val="00E95B53"/>
    <w:rsid w:val="00E95EEB"/>
    <w:rsid w:val="00E96BA1"/>
    <w:rsid w:val="00E96CA8"/>
    <w:rsid w:val="00E977C7"/>
    <w:rsid w:val="00E97A74"/>
    <w:rsid w:val="00E97CB5"/>
    <w:rsid w:val="00EA16CB"/>
    <w:rsid w:val="00EA1A8D"/>
    <w:rsid w:val="00EA1CEA"/>
    <w:rsid w:val="00EA24E0"/>
    <w:rsid w:val="00EA28DF"/>
    <w:rsid w:val="00EA2C8A"/>
    <w:rsid w:val="00EA36D5"/>
    <w:rsid w:val="00EA3C82"/>
    <w:rsid w:val="00EA3FE2"/>
    <w:rsid w:val="00EA4323"/>
    <w:rsid w:val="00EA5C28"/>
    <w:rsid w:val="00EA5F9B"/>
    <w:rsid w:val="00EA60D8"/>
    <w:rsid w:val="00EA62C2"/>
    <w:rsid w:val="00EA62CB"/>
    <w:rsid w:val="00EA7933"/>
    <w:rsid w:val="00EB047A"/>
    <w:rsid w:val="00EB0B65"/>
    <w:rsid w:val="00EB1109"/>
    <w:rsid w:val="00EB124C"/>
    <w:rsid w:val="00EB1362"/>
    <w:rsid w:val="00EB271D"/>
    <w:rsid w:val="00EB3190"/>
    <w:rsid w:val="00EB34F7"/>
    <w:rsid w:val="00EB3D70"/>
    <w:rsid w:val="00EB3D73"/>
    <w:rsid w:val="00EB4137"/>
    <w:rsid w:val="00EB54E5"/>
    <w:rsid w:val="00EB575A"/>
    <w:rsid w:val="00EB5C38"/>
    <w:rsid w:val="00EB662B"/>
    <w:rsid w:val="00EB68CE"/>
    <w:rsid w:val="00EB6EA4"/>
    <w:rsid w:val="00EB7263"/>
    <w:rsid w:val="00EB79E7"/>
    <w:rsid w:val="00EB7F36"/>
    <w:rsid w:val="00EB7FE1"/>
    <w:rsid w:val="00EC02BC"/>
    <w:rsid w:val="00EC062D"/>
    <w:rsid w:val="00EC1050"/>
    <w:rsid w:val="00EC10A9"/>
    <w:rsid w:val="00EC1AB5"/>
    <w:rsid w:val="00EC1F2B"/>
    <w:rsid w:val="00EC2CD9"/>
    <w:rsid w:val="00EC3446"/>
    <w:rsid w:val="00EC3EBE"/>
    <w:rsid w:val="00EC411E"/>
    <w:rsid w:val="00EC494F"/>
    <w:rsid w:val="00EC5D6F"/>
    <w:rsid w:val="00EC5FEE"/>
    <w:rsid w:val="00EC64C1"/>
    <w:rsid w:val="00EC783F"/>
    <w:rsid w:val="00ED0E87"/>
    <w:rsid w:val="00ED1C24"/>
    <w:rsid w:val="00ED2D4F"/>
    <w:rsid w:val="00ED2E46"/>
    <w:rsid w:val="00ED2F36"/>
    <w:rsid w:val="00ED33E1"/>
    <w:rsid w:val="00ED359A"/>
    <w:rsid w:val="00ED3695"/>
    <w:rsid w:val="00ED3ADB"/>
    <w:rsid w:val="00ED3FC1"/>
    <w:rsid w:val="00ED438B"/>
    <w:rsid w:val="00ED45E9"/>
    <w:rsid w:val="00ED46E1"/>
    <w:rsid w:val="00ED499E"/>
    <w:rsid w:val="00ED5370"/>
    <w:rsid w:val="00ED576E"/>
    <w:rsid w:val="00ED5BB2"/>
    <w:rsid w:val="00ED5C7F"/>
    <w:rsid w:val="00ED683E"/>
    <w:rsid w:val="00ED690F"/>
    <w:rsid w:val="00ED7084"/>
    <w:rsid w:val="00ED70F0"/>
    <w:rsid w:val="00ED772D"/>
    <w:rsid w:val="00ED786C"/>
    <w:rsid w:val="00EE05C8"/>
    <w:rsid w:val="00EE0660"/>
    <w:rsid w:val="00EE0D78"/>
    <w:rsid w:val="00EE1443"/>
    <w:rsid w:val="00EE1900"/>
    <w:rsid w:val="00EE1B65"/>
    <w:rsid w:val="00EE1F6A"/>
    <w:rsid w:val="00EE258D"/>
    <w:rsid w:val="00EE2626"/>
    <w:rsid w:val="00EE29D0"/>
    <w:rsid w:val="00EE2BDF"/>
    <w:rsid w:val="00EE34DD"/>
    <w:rsid w:val="00EE374C"/>
    <w:rsid w:val="00EE37C4"/>
    <w:rsid w:val="00EE3DC0"/>
    <w:rsid w:val="00EE3E84"/>
    <w:rsid w:val="00EE3ED9"/>
    <w:rsid w:val="00EE4461"/>
    <w:rsid w:val="00EE4AF0"/>
    <w:rsid w:val="00EE4ECC"/>
    <w:rsid w:val="00EE577A"/>
    <w:rsid w:val="00EE5BC2"/>
    <w:rsid w:val="00EE606C"/>
    <w:rsid w:val="00EE6185"/>
    <w:rsid w:val="00EE6355"/>
    <w:rsid w:val="00EE64D0"/>
    <w:rsid w:val="00EE65BD"/>
    <w:rsid w:val="00EE699E"/>
    <w:rsid w:val="00EE6E2F"/>
    <w:rsid w:val="00EE7360"/>
    <w:rsid w:val="00EE791D"/>
    <w:rsid w:val="00EE797B"/>
    <w:rsid w:val="00EF022B"/>
    <w:rsid w:val="00EF034A"/>
    <w:rsid w:val="00EF0839"/>
    <w:rsid w:val="00EF09FF"/>
    <w:rsid w:val="00EF10AF"/>
    <w:rsid w:val="00EF1228"/>
    <w:rsid w:val="00EF12BD"/>
    <w:rsid w:val="00EF157A"/>
    <w:rsid w:val="00EF1A81"/>
    <w:rsid w:val="00EF2743"/>
    <w:rsid w:val="00EF318D"/>
    <w:rsid w:val="00EF3769"/>
    <w:rsid w:val="00EF3935"/>
    <w:rsid w:val="00EF3D92"/>
    <w:rsid w:val="00EF4118"/>
    <w:rsid w:val="00EF4D2A"/>
    <w:rsid w:val="00EF504B"/>
    <w:rsid w:val="00EF57FA"/>
    <w:rsid w:val="00EF58B9"/>
    <w:rsid w:val="00EF5E35"/>
    <w:rsid w:val="00EF696D"/>
    <w:rsid w:val="00EF70DE"/>
    <w:rsid w:val="00EF72E8"/>
    <w:rsid w:val="00EF764B"/>
    <w:rsid w:val="00F0009C"/>
    <w:rsid w:val="00F00616"/>
    <w:rsid w:val="00F00BA9"/>
    <w:rsid w:val="00F00C74"/>
    <w:rsid w:val="00F00ECF"/>
    <w:rsid w:val="00F011F6"/>
    <w:rsid w:val="00F0159F"/>
    <w:rsid w:val="00F01608"/>
    <w:rsid w:val="00F01D44"/>
    <w:rsid w:val="00F02449"/>
    <w:rsid w:val="00F0251A"/>
    <w:rsid w:val="00F02669"/>
    <w:rsid w:val="00F03274"/>
    <w:rsid w:val="00F03849"/>
    <w:rsid w:val="00F039BC"/>
    <w:rsid w:val="00F03BE5"/>
    <w:rsid w:val="00F04237"/>
    <w:rsid w:val="00F048F8"/>
    <w:rsid w:val="00F056D0"/>
    <w:rsid w:val="00F060B8"/>
    <w:rsid w:val="00F07C55"/>
    <w:rsid w:val="00F1022B"/>
    <w:rsid w:val="00F105D4"/>
    <w:rsid w:val="00F10C1F"/>
    <w:rsid w:val="00F10C74"/>
    <w:rsid w:val="00F10C8E"/>
    <w:rsid w:val="00F10D7A"/>
    <w:rsid w:val="00F1178C"/>
    <w:rsid w:val="00F123F9"/>
    <w:rsid w:val="00F12421"/>
    <w:rsid w:val="00F1266C"/>
    <w:rsid w:val="00F12980"/>
    <w:rsid w:val="00F13103"/>
    <w:rsid w:val="00F13507"/>
    <w:rsid w:val="00F14074"/>
    <w:rsid w:val="00F14083"/>
    <w:rsid w:val="00F14139"/>
    <w:rsid w:val="00F14762"/>
    <w:rsid w:val="00F14C66"/>
    <w:rsid w:val="00F14FD6"/>
    <w:rsid w:val="00F15486"/>
    <w:rsid w:val="00F15DA3"/>
    <w:rsid w:val="00F1622F"/>
    <w:rsid w:val="00F162E3"/>
    <w:rsid w:val="00F163BE"/>
    <w:rsid w:val="00F16C29"/>
    <w:rsid w:val="00F17235"/>
    <w:rsid w:val="00F17D67"/>
    <w:rsid w:val="00F20444"/>
    <w:rsid w:val="00F20478"/>
    <w:rsid w:val="00F20ABC"/>
    <w:rsid w:val="00F20ED9"/>
    <w:rsid w:val="00F21187"/>
    <w:rsid w:val="00F21438"/>
    <w:rsid w:val="00F2178B"/>
    <w:rsid w:val="00F21EC6"/>
    <w:rsid w:val="00F220CE"/>
    <w:rsid w:val="00F2287D"/>
    <w:rsid w:val="00F231AB"/>
    <w:rsid w:val="00F23496"/>
    <w:rsid w:val="00F23499"/>
    <w:rsid w:val="00F23852"/>
    <w:rsid w:val="00F23B92"/>
    <w:rsid w:val="00F2433A"/>
    <w:rsid w:val="00F244D9"/>
    <w:rsid w:val="00F2461A"/>
    <w:rsid w:val="00F25930"/>
    <w:rsid w:val="00F25CE4"/>
    <w:rsid w:val="00F2649E"/>
    <w:rsid w:val="00F26E1B"/>
    <w:rsid w:val="00F31B31"/>
    <w:rsid w:val="00F31BDC"/>
    <w:rsid w:val="00F31F07"/>
    <w:rsid w:val="00F320E4"/>
    <w:rsid w:val="00F324FC"/>
    <w:rsid w:val="00F32EF1"/>
    <w:rsid w:val="00F337B9"/>
    <w:rsid w:val="00F33F6B"/>
    <w:rsid w:val="00F34D73"/>
    <w:rsid w:val="00F34FEA"/>
    <w:rsid w:val="00F35AE1"/>
    <w:rsid w:val="00F35E90"/>
    <w:rsid w:val="00F3626C"/>
    <w:rsid w:val="00F364BE"/>
    <w:rsid w:val="00F366C1"/>
    <w:rsid w:val="00F36AED"/>
    <w:rsid w:val="00F36F9A"/>
    <w:rsid w:val="00F37260"/>
    <w:rsid w:val="00F37747"/>
    <w:rsid w:val="00F37A32"/>
    <w:rsid w:val="00F40CE2"/>
    <w:rsid w:val="00F40CED"/>
    <w:rsid w:val="00F40E1E"/>
    <w:rsid w:val="00F40E67"/>
    <w:rsid w:val="00F4169C"/>
    <w:rsid w:val="00F41815"/>
    <w:rsid w:val="00F42805"/>
    <w:rsid w:val="00F430F2"/>
    <w:rsid w:val="00F4354F"/>
    <w:rsid w:val="00F441F0"/>
    <w:rsid w:val="00F44564"/>
    <w:rsid w:val="00F4458E"/>
    <w:rsid w:val="00F446EA"/>
    <w:rsid w:val="00F44EEA"/>
    <w:rsid w:val="00F45686"/>
    <w:rsid w:val="00F4654C"/>
    <w:rsid w:val="00F468AB"/>
    <w:rsid w:val="00F47483"/>
    <w:rsid w:val="00F476A2"/>
    <w:rsid w:val="00F47C28"/>
    <w:rsid w:val="00F47E43"/>
    <w:rsid w:val="00F47FC8"/>
    <w:rsid w:val="00F510FF"/>
    <w:rsid w:val="00F518B3"/>
    <w:rsid w:val="00F522F0"/>
    <w:rsid w:val="00F5250F"/>
    <w:rsid w:val="00F52A61"/>
    <w:rsid w:val="00F53444"/>
    <w:rsid w:val="00F53B68"/>
    <w:rsid w:val="00F53EAD"/>
    <w:rsid w:val="00F54E89"/>
    <w:rsid w:val="00F54F42"/>
    <w:rsid w:val="00F55720"/>
    <w:rsid w:val="00F55950"/>
    <w:rsid w:val="00F55DE1"/>
    <w:rsid w:val="00F568DC"/>
    <w:rsid w:val="00F5704C"/>
    <w:rsid w:val="00F573F2"/>
    <w:rsid w:val="00F57DF4"/>
    <w:rsid w:val="00F57FDA"/>
    <w:rsid w:val="00F60E54"/>
    <w:rsid w:val="00F61185"/>
    <w:rsid w:val="00F61357"/>
    <w:rsid w:val="00F613DE"/>
    <w:rsid w:val="00F61BA3"/>
    <w:rsid w:val="00F61BB4"/>
    <w:rsid w:val="00F620D2"/>
    <w:rsid w:val="00F620E6"/>
    <w:rsid w:val="00F629C0"/>
    <w:rsid w:val="00F62AC0"/>
    <w:rsid w:val="00F62C47"/>
    <w:rsid w:val="00F637FC"/>
    <w:rsid w:val="00F65578"/>
    <w:rsid w:val="00F6591E"/>
    <w:rsid w:val="00F65979"/>
    <w:rsid w:val="00F659D0"/>
    <w:rsid w:val="00F66484"/>
    <w:rsid w:val="00F66621"/>
    <w:rsid w:val="00F666C8"/>
    <w:rsid w:val="00F67433"/>
    <w:rsid w:val="00F67BFC"/>
    <w:rsid w:val="00F67FE4"/>
    <w:rsid w:val="00F7076A"/>
    <w:rsid w:val="00F7090C"/>
    <w:rsid w:val="00F71C8B"/>
    <w:rsid w:val="00F72201"/>
    <w:rsid w:val="00F72C6A"/>
    <w:rsid w:val="00F73B34"/>
    <w:rsid w:val="00F73BF1"/>
    <w:rsid w:val="00F73E5B"/>
    <w:rsid w:val="00F73F1A"/>
    <w:rsid w:val="00F7447F"/>
    <w:rsid w:val="00F749C6"/>
    <w:rsid w:val="00F74AB8"/>
    <w:rsid w:val="00F75481"/>
    <w:rsid w:val="00F75DDC"/>
    <w:rsid w:val="00F7682D"/>
    <w:rsid w:val="00F778B1"/>
    <w:rsid w:val="00F80A05"/>
    <w:rsid w:val="00F80BD8"/>
    <w:rsid w:val="00F80FA3"/>
    <w:rsid w:val="00F8103E"/>
    <w:rsid w:val="00F812F6"/>
    <w:rsid w:val="00F81524"/>
    <w:rsid w:val="00F81B9F"/>
    <w:rsid w:val="00F81FC8"/>
    <w:rsid w:val="00F82637"/>
    <w:rsid w:val="00F8287E"/>
    <w:rsid w:val="00F82A1A"/>
    <w:rsid w:val="00F82FA8"/>
    <w:rsid w:val="00F83A46"/>
    <w:rsid w:val="00F83A84"/>
    <w:rsid w:val="00F84A05"/>
    <w:rsid w:val="00F85163"/>
    <w:rsid w:val="00F8535A"/>
    <w:rsid w:val="00F854F5"/>
    <w:rsid w:val="00F8579B"/>
    <w:rsid w:val="00F85DE2"/>
    <w:rsid w:val="00F85FC9"/>
    <w:rsid w:val="00F862D4"/>
    <w:rsid w:val="00F86A18"/>
    <w:rsid w:val="00F86BCF"/>
    <w:rsid w:val="00F86E40"/>
    <w:rsid w:val="00F87368"/>
    <w:rsid w:val="00F875FD"/>
    <w:rsid w:val="00F8784B"/>
    <w:rsid w:val="00F90971"/>
    <w:rsid w:val="00F91823"/>
    <w:rsid w:val="00F91CB0"/>
    <w:rsid w:val="00F92027"/>
    <w:rsid w:val="00F92098"/>
    <w:rsid w:val="00F92A42"/>
    <w:rsid w:val="00F92BE6"/>
    <w:rsid w:val="00F93EDA"/>
    <w:rsid w:val="00F94592"/>
    <w:rsid w:val="00F954E6"/>
    <w:rsid w:val="00F95BDA"/>
    <w:rsid w:val="00F95C48"/>
    <w:rsid w:val="00F95D82"/>
    <w:rsid w:val="00F95E08"/>
    <w:rsid w:val="00F9670A"/>
    <w:rsid w:val="00F97CCF"/>
    <w:rsid w:val="00FA0091"/>
    <w:rsid w:val="00FA06B5"/>
    <w:rsid w:val="00FA0FDB"/>
    <w:rsid w:val="00FA1EEB"/>
    <w:rsid w:val="00FA3065"/>
    <w:rsid w:val="00FA4032"/>
    <w:rsid w:val="00FA558D"/>
    <w:rsid w:val="00FA55F3"/>
    <w:rsid w:val="00FA5B6F"/>
    <w:rsid w:val="00FA651D"/>
    <w:rsid w:val="00FA6AA0"/>
    <w:rsid w:val="00FA70D6"/>
    <w:rsid w:val="00FA7A5B"/>
    <w:rsid w:val="00FB05D9"/>
    <w:rsid w:val="00FB09B1"/>
    <w:rsid w:val="00FB0C06"/>
    <w:rsid w:val="00FB19E4"/>
    <w:rsid w:val="00FB209F"/>
    <w:rsid w:val="00FB2365"/>
    <w:rsid w:val="00FB254E"/>
    <w:rsid w:val="00FB2624"/>
    <w:rsid w:val="00FB2684"/>
    <w:rsid w:val="00FB2E44"/>
    <w:rsid w:val="00FB39A7"/>
    <w:rsid w:val="00FB3D78"/>
    <w:rsid w:val="00FB4346"/>
    <w:rsid w:val="00FB4534"/>
    <w:rsid w:val="00FB4703"/>
    <w:rsid w:val="00FB5496"/>
    <w:rsid w:val="00FB575C"/>
    <w:rsid w:val="00FB58EC"/>
    <w:rsid w:val="00FB5FDB"/>
    <w:rsid w:val="00FB6A91"/>
    <w:rsid w:val="00FB6C21"/>
    <w:rsid w:val="00FB6CEF"/>
    <w:rsid w:val="00FB7813"/>
    <w:rsid w:val="00FB7ABF"/>
    <w:rsid w:val="00FC0065"/>
    <w:rsid w:val="00FC0744"/>
    <w:rsid w:val="00FC0F0D"/>
    <w:rsid w:val="00FC1B44"/>
    <w:rsid w:val="00FC2060"/>
    <w:rsid w:val="00FC25B5"/>
    <w:rsid w:val="00FC3681"/>
    <w:rsid w:val="00FC53E6"/>
    <w:rsid w:val="00FC56EF"/>
    <w:rsid w:val="00FC5D0B"/>
    <w:rsid w:val="00FC60A3"/>
    <w:rsid w:val="00FC6B03"/>
    <w:rsid w:val="00FC6C00"/>
    <w:rsid w:val="00FC6CDA"/>
    <w:rsid w:val="00FC6DD1"/>
    <w:rsid w:val="00FC7A0D"/>
    <w:rsid w:val="00FD0628"/>
    <w:rsid w:val="00FD0C45"/>
    <w:rsid w:val="00FD0CBD"/>
    <w:rsid w:val="00FD157F"/>
    <w:rsid w:val="00FD188E"/>
    <w:rsid w:val="00FD26F3"/>
    <w:rsid w:val="00FD26F9"/>
    <w:rsid w:val="00FD2C7D"/>
    <w:rsid w:val="00FD2CA6"/>
    <w:rsid w:val="00FD2EDF"/>
    <w:rsid w:val="00FD3033"/>
    <w:rsid w:val="00FD3450"/>
    <w:rsid w:val="00FD37B3"/>
    <w:rsid w:val="00FD40FA"/>
    <w:rsid w:val="00FD4F98"/>
    <w:rsid w:val="00FD4FED"/>
    <w:rsid w:val="00FD5907"/>
    <w:rsid w:val="00FD62A3"/>
    <w:rsid w:val="00FD63C4"/>
    <w:rsid w:val="00FD6C06"/>
    <w:rsid w:val="00FD6E09"/>
    <w:rsid w:val="00FD71A8"/>
    <w:rsid w:val="00FD76AD"/>
    <w:rsid w:val="00FD7C36"/>
    <w:rsid w:val="00FD7EA7"/>
    <w:rsid w:val="00FD7FB9"/>
    <w:rsid w:val="00FE08EF"/>
    <w:rsid w:val="00FE1608"/>
    <w:rsid w:val="00FE1909"/>
    <w:rsid w:val="00FE244B"/>
    <w:rsid w:val="00FE3F67"/>
    <w:rsid w:val="00FE4129"/>
    <w:rsid w:val="00FE4539"/>
    <w:rsid w:val="00FE4C94"/>
    <w:rsid w:val="00FE4D2E"/>
    <w:rsid w:val="00FE5409"/>
    <w:rsid w:val="00FE5542"/>
    <w:rsid w:val="00FE5630"/>
    <w:rsid w:val="00FE5839"/>
    <w:rsid w:val="00FE59F8"/>
    <w:rsid w:val="00FE6AAB"/>
    <w:rsid w:val="00FE6B11"/>
    <w:rsid w:val="00FE6B7D"/>
    <w:rsid w:val="00FE706A"/>
    <w:rsid w:val="00FE7381"/>
    <w:rsid w:val="00FE7A38"/>
    <w:rsid w:val="00FF0132"/>
    <w:rsid w:val="00FF0180"/>
    <w:rsid w:val="00FF0460"/>
    <w:rsid w:val="00FF049B"/>
    <w:rsid w:val="00FF0990"/>
    <w:rsid w:val="00FF0B77"/>
    <w:rsid w:val="00FF178F"/>
    <w:rsid w:val="00FF1E9B"/>
    <w:rsid w:val="00FF220D"/>
    <w:rsid w:val="00FF2DB7"/>
    <w:rsid w:val="00FF2F79"/>
    <w:rsid w:val="00FF322A"/>
    <w:rsid w:val="00FF3506"/>
    <w:rsid w:val="00FF46A4"/>
    <w:rsid w:val="00FF488C"/>
    <w:rsid w:val="00FF48BC"/>
    <w:rsid w:val="00FF5421"/>
    <w:rsid w:val="00FF6380"/>
    <w:rsid w:val="00FF6396"/>
    <w:rsid w:val="00FF6453"/>
    <w:rsid w:val="00FF6B36"/>
    <w:rsid w:val="00FF6D8B"/>
    <w:rsid w:val="00FF770C"/>
    <w:rsid w:val="013B771D"/>
    <w:rsid w:val="017F68C9"/>
    <w:rsid w:val="02D50FA9"/>
    <w:rsid w:val="02F73BE3"/>
    <w:rsid w:val="034131E9"/>
    <w:rsid w:val="0387035E"/>
    <w:rsid w:val="043B27A6"/>
    <w:rsid w:val="04E60DD6"/>
    <w:rsid w:val="05287452"/>
    <w:rsid w:val="0535193B"/>
    <w:rsid w:val="058E11F9"/>
    <w:rsid w:val="059465E9"/>
    <w:rsid w:val="05CD33EC"/>
    <w:rsid w:val="067B7956"/>
    <w:rsid w:val="07B9ED17"/>
    <w:rsid w:val="07BE32D7"/>
    <w:rsid w:val="07C75DD6"/>
    <w:rsid w:val="08FAD299"/>
    <w:rsid w:val="09C87CB0"/>
    <w:rsid w:val="09E44A35"/>
    <w:rsid w:val="09E60555"/>
    <w:rsid w:val="0B4F0641"/>
    <w:rsid w:val="0BAB5245"/>
    <w:rsid w:val="0BE81B6F"/>
    <w:rsid w:val="0BF405D5"/>
    <w:rsid w:val="0C224EE8"/>
    <w:rsid w:val="0C5916A5"/>
    <w:rsid w:val="0CFB6E0B"/>
    <w:rsid w:val="0D3D56A1"/>
    <w:rsid w:val="0E9742D9"/>
    <w:rsid w:val="0EBE5089"/>
    <w:rsid w:val="0EC44CD2"/>
    <w:rsid w:val="0F77EB6B"/>
    <w:rsid w:val="0FBADC49"/>
    <w:rsid w:val="11316FEB"/>
    <w:rsid w:val="11385B87"/>
    <w:rsid w:val="114473C2"/>
    <w:rsid w:val="1152697A"/>
    <w:rsid w:val="11791BB4"/>
    <w:rsid w:val="117E4A5C"/>
    <w:rsid w:val="11B24EEC"/>
    <w:rsid w:val="12713773"/>
    <w:rsid w:val="12AA3D0D"/>
    <w:rsid w:val="133F39D6"/>
    <w:rsid w:val="13EB7CC2"/>
    <w:rsid w:val="13FF76AB"/>
    <w:rsid w:val="14457342"/>
    <w:rsid w:val="145D73F8"/>
    <w:rsid w:val="15034C03"/>
    <w:rsid w:val="15646439"/>
    <w:rsid w:val="159F529D"/>
    <w:rsid w:val="15E821C3"/>
    <w:rsid w:val="17466AC4"/>
    <w:rsid w:val="17D729F6"/>
    <w:rsid w:val="18814BD9"/>
    <w:rsid w:val="18BF09F2"/>
    <w:rsid w:val="19174412"/>
    <w:rsid w:val="19990F76"/>
    <w:rsid w:val="19BF79D2"/>
    <w:rsid w:val="1A090C6C"/>
    <w:rsid w:val="1A101C8F"/>
    <w:rsid w:val="1B605E6A"/>
    <w:rsid w:val="1B8116CB"/>
    <w:rsid w:val="1BFEACA3"/>
    <w:rsid w:val="1C664E8F"/>
    <w:rsid w:val="1CDADCA3"/>
    <w:rsid w:val="1D164D06"/>
    <w:rsid w:val="1DF751E4"/>
    <w:rsid w:val="1EF7365A"/>
    <w:rsid w:val="1F5F0FD3"/>
    <w:rsid w:val="1F5FEE69"/>
    <w:rsid w:val="1F7F54C5"/>
    <w:rsid w:val="1FCF34CA"/>
    <w:rsid w:val="1FDDA213"/>
    <w:rsid w:val="1FFBC4B6"/>
    <w:rsid w:val="1FFFCAA9"/>
    <w:rsid w:val="1FFFDC73"/>
    <w:rsid w:val="212F64C2"/>
    <w:rsid w:val="21826EF5"/>
    <w:rsid w:val="228379EF"/>
    <w:rsid w:val="23082CA7"/>
    <w:rsid w:val="230F000B"/>
    <w:rsid w:val="23161044"/>
    <w:rsid w:val="234019CD"/>
    <w:rsid w:val="23675964"/>
    <w:rsid w:val="23B79C3D"/>
    <w:rsid w:val="23D60A83"/>
    <w:rsid w:val="23F57CAA"/>
    <w:rsid w:val="240A19C5"/>
    <w:rsid w:val="24716FBD"/>
    <w:rsid w:val="24964B2B"/>
    <w:rsid w:val="24CE762F"/>
    <w:rsid w:val="24E96255"/>
    <w:rsid w:val="24ED64D1"/>
    <w:rsid w:val="258277F0"/>
    <w:rsid w:val="25854745"/>
    <w:rsid w:val="25AF5A67"/>
    <w:rsid w:val="266529B2"/>
    <w:rsid w:val="269E1825"/>
    <w:rsid w:val="26D0702D"/>
    <w:rsid w:val="27856B38"/>
    <w:rsid w:val="27B736A3"/>
    <w:rsid w:val="27F73DE5"/>
    <w:rsid w:val="28011044"/>
    <w:rsid w:val="284367DA"/>
    <w:rsid w:val="294C3DD6"/>
    <w:rsid w:val="29802EE5"/>
    <w:rsid w:val="298755BA"/>
    <w:rsid w:val="2A37C0B8"/>
    <w:rsid w:val="2AD73306"/>
    <w:rsid w:val="2B891448"/>
    <w:rsid w:val="2BB36768"/>
    <w:rsid w:val="2D2D54C1"/>
    <w:rsid w:val="2D714170"/>
    <w:rsid w:val="2D8A63D3"/>
    <w:rsid w:val="2DC2126E"/>
    <w:rsid w:val="2DEC33CB"/>
    <w:rsid w:val="2DFB5A64"/>
    <w:rsid w:val="2F1D6676"/>
    <w:rsid w:val="2F70746C"/>
    <w:rsid w:val="2F977B95"/>
    <w:rsid w:val="2FB158A8"/>
    <w:rsid w:val="2FB30E8B"/>
    <w:rsid w:val="2FD902E1"/>
    <w:rsid w:val="2FFD03CC"/>
    <w:rsid w:val="3054318B"/>
    <w:rsid w:val="31CB0D73"/>
    <w:rsid w:val="31CC1EF8"/>
    <w:rsid w:val="31EC7231"/>
    <w:rsid w:val="3228027A"/>
    <w:rsid w:val="32353E8A"/>
    <w:rsid w:val="3242656E"/>
    <w:rsid w:val="32823FA6"/>
    <w:rsid w:val="32994592"/>
    <w:rsid w:val="32C10421"/>
    <w:rsid w:val="32D67111"/>
    <w:rsid w:val="32F35732"/>
    <w:rsid w:val="337B6D73"/>
    <w:rsid w:val="346B6FEC"/>
    <w:rsid w:val="357500B7"/>
    <w:rsid w:val="35CF44BD"/>
    <w:rsid w:val="35DA1DDF"/>
    <w:rsid w:val="35F6BB91"/>
    <w:rsid w:val="363E87CB"/>
    <w:rsid w:val="3696EA6C"/>
    <w:rsid w:val="36A4253C"/>
    <w:rsid w:val="371F03D1"/>
    <w:rsid w:val="376D513D"/>
    <w:rsid w:val="37717F9A"/>
    <w:rsid w:val="37870564"/>
    <w:rsid w:val="378F7337"/>
    <w:rsid w:val="37DAB859"/>
    <w:rsid w:val="37FDA128"/>
    <w:rsid w:val="37FEDA2C"/>
    <w:rsid w:val="38907E33"/>
    <w:rsid w:val="395DBFD0"/>
    <w:rsid w:val="396B712E"/>
    <w:rsid w:val="39B66708"/>
    <w:rsid w:val="39EBBCDB"/>
    <w:rsid w:val="39FAF198"/>
    <w:rsid w:val="3A3321C0"/>
    <w:rsid w:val="3A8F62D7"/>
    <w:rsid w:val="3AB76927"/>
    <w:rsid w:val="3B024F6D"/>
    <w:rsid w:val="3B0300E0"/>
    <w:rsid w:val="3B3FE7A1"/>
    <w:rsid w:val="3B7BF09A"/>
    <w:rsid w:val="3BB145F6"/>
    <w:rsid w:val="3BBC5389"/>
    <w:rsid w:val="3C3FE1D5"/>
    <w:rsid w:val="3C4713C0"/>
    <w:rsid w:val="3CFF1AEF"/>
    <w:rsid w:val="3D3204B8"/>
    <w:rsid w:val="3D381BA8"/>
    <w:rsid w:val="3D7815F6"/>
    <w:rsid w:val="3DCB538C"/>
    <w:rsid w:val="3E0524F9"/>
    <w:rsid w:val="3E130831"/>
    <w:rsid w:val="3E2F66D3"/>
    <w:rsid w:val="3E3D1001"/>
    <w:rsid w:val="3E454EEC"/>
    <w:rsid w:val="3E773024"/>
    <w:rsid w:val="3E7DF1E2"/>
    <w:rsid w:val="3E7FCBE8"/>
    <w:rsid w:val="3EA8373C"/>
    <w:rsid w:val="3EAFC588"/>
    <w:rsid w:val="3EBFE4D6"/>
    <w:rsid w:val="3ECFB36E"/>
    <w:rsid w:val="3F5F40D5"/>
    <w:rsid w:val="3F7B963E"/>
    <w:rsid w:val="3F7E479C"/>
    <w:rsid w:val="3FA5187C"/>
    <w:rsid w:val="3FAF5949"/>
    <w:rsid w:val="3FBF0CA6"/>
    <w:rsid w:val="3FCA855B"/>
    <w:rsid w:val="3FEE2A72"/>
    <w:rsid w:val="3FF3F4B7"/>
    <w:rsid w:val="3FF7F896"/>
    <w:rsid w:val="3FF9F84F"/>
    <w:rsid w:val="3FFCE502"/>
    <w:rsid w:val="3FFD2FCA"/>
    <w:rsid w:val="3FFEDF1E"/>
    <w:rsid w:val="3FFF9BCE"/>
    <w:rsid w:val="3FFFF3A5"/>
    <w:rsid w:val="40216C9A"/>
    <w:rsid w:val="406C0479"/>
    <w:rsid w:val="408B4F6B"/>
    <w:rsid w:val="409E7A0B"/>
    <w:rsid w:val="41731810"/>
    <w:rsid w:val="42F12D83"/>
    <w:rsid w:val="449260F4"/>
    <w:rsid w:val="459602FE"/>
    <w:rsid w:val="45C10150"/>
    <w:rsid w:val="45F5BF7B"/>
    <w:rsid w:val="466173FE"/>
    <w:rsid w:val="472766F7"/>
    <w:rsid w:val="473F5B5B"/>
    <w:rsid w:val="47420E14"/>
    <w:rsid w:val="475F022D"/>
    <w:rsid w:val="47747768"/>
    <w:rsid w:val="47AB4A0A"/>
    <w:rsid w:val="47EE7E15"/>
    <w:rsid w:val="482749A2"/>
    <w:rsid w:val="4869095B"/>
    <w:rsid w:val="48BC9AF3"/>
    <w:rsid w:val="48FB1DCC"/>
    <w:rsid w:val="49045604"/>
    <w:rsid w:val="49997BD2"/>
    <w:rsid w:val="4A0E6F80"/>
    <w:rsid w:val="4AAB19AF"/>
    <w:rsid w:val="4B1B4215"/>
    <w:rsid w:val="4B1F3EE7"/>
    <w:rsid w:val="4B21402B"/>
    <w:rsid w:val="4BFF5C80"/>
    <w:rsid w:val="4C8F1684"/>
    <w:rsid w:val="4CA02EC1"/>
    <w:rsid w:val="4CA11800"/>
    <w:rsid w:val="4CEA0221"/>
    <w:rsid w:val="4D46277F"/>
    <w:rsid w:val="4D5579A8"/>
    <w:rsid w:val="4DA7399C"/>
    <w:rsid w:val="4DDBD141"/>
    <w:rsid w:val="4E1E52F3"/>
    <w:rsid w:val="4E234389"/>
    <w:rsid w:val="4E61693A"/>
    <w:rsid w:val="4EF037C8"/>
    <w:rsid w:val="4EFEEDEA"/>
    <w:rsid w:val="4F7B5B44"/>
    <w:rsid w:val="4F7F18F8"/>
    <w:rsid w:val="4F8118DB"/>
    <w:rsid w:val="4F830FDA"/>
    <w:rsid w:val="4FC5E586"/>
    <w:rsid w:val="4FDE5ED2"/>
    <w:rsid w:val="501635A2"/>
    <w:rsid w:val="50E32033"/>
    <w:rsid w:val="50E744DA"/>
    <w:rsid w:val="51170DC7"/>
    <w:rsid w:val="517C40BE"/>
    <w:rsid w:val="51BA52A2"/>
    <w:rsid w:val="529F06F9"/>
    <w:rsid w:val="530A1424"/>
    <w:rsid w:val="531F4FD9"/>
    <w:rsid w:val="53D7BCD8"/>
    <w:rsid w:val="53FA7898"/>
    <w:rsid w:val="547FF352"/>
    <w:rsid w:val="55004228"/>
    <w:rsid w:val="55021854"/>
    <w:rsid w:val="550F7BF3"/>
    <w:rsid w:val="5575F388"/>
    <w:rsid w:val="557D386E"/>
    <w:rsid w:val="55FAED2C"/>
    <w:rsid w:val="56387D00"/>
    <w:rsid w:val="567856C5"/>
    <w:rsid w:val="56BC6B02"/>
    <w:rsid w:val="5754088F"/>
    <w:rsid w:val="577C79C2"/>
    <w:rsid w:val="57CF0E62"/>
    <w:rsid w:val="57DBD35F"/>
    <w:rsid w:val="57FB40D8"/>
    <w:rsid w:val="57FF3806"/>
    <w:rsid w:val="5833584C"/>
    <w:rsid w:val="58BC6F1B"/>
    <w:rsid w:val="58BE2535"/>
    <w:rsid w:val="593578E0"/>
    <w:rsid w:val="593E3E6B"/>
    <w:rsid w:val="59C793B7"/>
    <w:rsid w:val="59E5F589"/>
    <w:rsid w:val="59FBDFAF"/>
    <w:rsid w:val="5A804981"/>
    <w:rsid w:val="5A9714DA"/>
    <w:rsid w:val="5ABF4B78"/>
    <w:rsid w:val="5ABFFDD8"/>
    <w:rsid w:val="5B0800B3"/>
    <w:rsid w:val="5B1A3616"/>
    <w:rsid w:val="5BC27037"/>
    <w:rsid w:val="5BED2424"/>
    <w:rsid w:val="5C5211D4"/>
    <w:rsid w:val="5CB9621D"/>
    <w:rsid w:val="5CE75BBC"/>
    <w:rsid w:val="5D911B67"/>
    <w:rsid w:val="5DAD309B"/>
    <w:rsid w:val="5DD30DA8"/>
    <w:rsid w:val="5DF8EE78"/>
    <w:rsid w:val="5DFF9E33"/>
    <w:rsid w:val="5E0A474D"/>
    <w:rsid w:val="5E5B7374"/>
    <w:rsid w:val="5EAF1D0F"/>
    <w:rsid w:val="5EC315F7"/>
    <w:rsid w:val="5EDF036E"/>
    <w:rsid w:val="5EFF78AD"/>
    <w:rsid w:val="5F4C5D85"/>
    <w:rsid w:val="5F67E238"/>
    <w:rsid w:val="5F772B54"/>
    <w:rsid w:val="5F77387E"/>
    <w:rsid w:val="5F8EB3E3"/>
    <w:rsid w:val="5FDBCECB"/>
    <w:rsid w:val="5FE03999"/>
    <w:rsid w:val="5FE672FA"/>
    <w:rsid w:val="5FE70E70"/>
    <w:rsid w:val="5FEF3D87"/>
    <w:rsid w:val="5FEFEBF5"/>
    <w:rsid w:val="5FFBE5B1"/>
    <w:rsid w:val="5FFD7E98"/>
    <w:rsid w:val="5FFF6212"/>
    <w:rsid w:val="5FFFDE6B"/>
    <w:rsid w:val="600B4656"/>
    <w:rsid w:val="602A7FD4"/>
    <w:rsid w:val="60647C6A"/>
    <w:rsid w:val="60A34586"/>
    <w:rsid w:val="61267F57"/>
    <w:rsid w:val="614B48AC"/>
    <w:rsid w:val="617FDF10"/>
    <w:rsid w:val="61CF5424"/>
    <w:rsid w:val="61E3406D"/>
    <w:rsid w:val="62745604"/>
    <w:rsid w:val="62E43F88"/>
    <w:rsid w:val="636FAC6C"/>
    <w:rsid w:val="637DB0CE"/>
    <w:rsid w:val="638E033B"/>
    <w:rsid w:val="639DEFFF"/>
    <w:rsid w:val="63F7E183"/>
    <w:rsid w:val="63FD356B"/>
    <w:rsid w:val="65A163EC"/>
    <w:rsid w:val="65EFC076"/>
    <w:rsid w:val="6611135A"/>
    <w:rsid w:val="66397816"/>
    <w:rsid w:val="66890A5A"/>
    <w:rsid w:val="669D0FD4"/>
    <w:rsid w:val="66A015F2"/>
    <w:rsid w:val="66DC6C11"/>
    <w:rsid w:val="67DE3CA9"/>
    <w:rsid w:val="67F36AEF"/>
    <w:rsid w:val="67F6130C"/>
    <w:rsid w:val="67F71D4C"/>
    <w:rsid w:val="67FED1F1"/>
    <w:rsid w:val="67FF6CCA"/>
    <w:rsid w:val="681D126E"/>
    <w:rsid w:val="68C94F03"/>
    <w:rsid w:val="69527381"/>
    <w:rsid w:val="69F97260"/>
    <w:rsid w:val="69FF16AC"/>
    <w:rsid w:val="6B126C2C"/>
    <w:rsid w:val="6B2F38CF"/>
    <w:rsid w:val="6B7F82CD"/>
    <w:rsid w:val="6BC42C29"/>
    <w:rsid w:val="6BCEBFDE"/>
    <w:rsid w:val="6BEF150C"/>
    <w:rsid w:val="6BF501BE"/>
    <w:rsid w:val="6BF5D7CC"/>
    <w:rsid w:val="6BFF8A89"/>
    <w:rsid w:val="6C2E1720"/>
    <w:rsid w:val="6CBD81BD"/>
    <w:rsid w:val="6CBF62EC"/>
    <w:rsid w:val="6CDB4DE1"/>
    <w:rsid w:val="6D5A5C82"/>
    <w:rsid w:val="6DAB0A99"/>
    <w:rsid w:val="6DBEF83F"/>
    <w:rsid w:val="6DEE7FFC"/>
    <w:rsid w:val="6DF6FDE4"/>
    <w:rsid w:val="6DFB1076"/>
    <w:rsid w:val="6DFF9A8E"/>
    <w:rsid w:val="6E51629A"/>
    <w:rsid w:val="6EAD1E6C"/>
    <w:rsid w:val="6EC812DC"/>
    <w:rsid w:val="6ECD1FFF"/>
    <w:rsid w:val="6EFA6361"/>
    <w:rsid w:val="6EFFDF72"/>
    <w:rsid w:val="6F1EAABE"/>
    <w:rsid w:val="6F6530C7"/>
    <w:rsid w:val="6F7FEFB4"/>
    <w:rsid w:val="6FABBD01"/>
    <w:rsid w:val="6FBCBCDE"/>
    <w:rsid w:val="6FBF0476"/>
    <w:rsid w:val="6FDB10C7"/>
    <w:rsid w:val="6FEDF88D"/>
    <w:rsid w:val="6FFDC1C6"/>
    <w:rsid w:val="6FFE6491"/>
    <w:rsid w:val="7003312F"/>
    <w:rsid w:val="7036135F"/>
    <w:rsid w:val="70D60964"/>
    <w:rsid w:val="70F13E0F"/>
    <w:rsid w:val="70F22A16"/>
    <w:rsid w:val="713A414A"/>
    <w:rsid w:val="717F2792"/>
    <w:rsid w:val="71E54C35"/>
    <w:rsid w:val="723C4E31"/>
    <w:rsid w:val="723F7C30"/>
    <w:rsid w:val="724D604E"/>
    <w:rsid w:val="72B781A2"/>
    <w:rsid w:val="72BD6F09"/>
    <w:rsid w:val="72F642DA"/>
    <w:rsid w:val="73063F6A"/>
    <w:rsid w:val="73AF394E"/>
    <w:rsid w:val="73B057E9"/>
    <w:rsid w:val="73CF2F28"/>
    <w:rsid w:val="73F79C17"/>
    <w:rsid w:val="73FF8372"/>
    <w:rsid w:val="7426061C"/>
    <w:rsid w:val="746F22C1"/>
    <w:rsid w:val="7497A733"/>
    <w:rsid w:val="753FFB7C"/>
    <w:rsid w:val="75EC1397"/>
    <w:rsid w:val="75F7842E"/>
    <w:rsid w:val="75FE6EF5"/>
    <w:rsid w:val="75FF337A"/>
    <w:rsid w:val="765806A7"/>
    <w:rsid w:val="7659DADE"/>
    <w:rsid w:val="765D05DA"/>
    <w:rsid w:val="7697C871"/>
    <w:rsid w:val="76EE46CC"/>
    <w:rsid w:val="76F741AE"/>
    <w:rsid w:val="76F74AF7"/>
    <w:rsid w:val="76FF0704"/>
    <w:rsid w:val="7727674C"/>
    <w:rsid w:val="77461C46"/>
    <w:rsid w:val="774B5C4E"/>
    <w:rsid w:val="775DD1E9"/>
    <w:rsid w:val="775F6013"/>
    <w:rsid w:val="777C1C2E"/>
    <w:rsid w:val="777FD4A1"/>
    <w:rsid w:val="779C3E05"/>
    <w:rsid w:val="77AFF094"/>
    <w:rsid w:val="77B67E84"/>
    <w:rsid w:val="77D781F0"/>
    <w:rsid w:val="77D7E9A4"/>
    <w:rsid w:val="77DBD8DC"/>
    <w:rsid w:val="77DDF5F2"/>
    <w:rsid w:val="77DF3113"/>
    <w:rsid w:val="77DF54F2"/>
    <w:rsid w:val="77EBEE75"/>
    <w:rsid w:val="77ED13B5"/>
    <w:rsid w:val="77EE5AFF"/>
    <w:rsid w:val="77EE7205"/>
    <w:rsid w:val="77FA39A7"/>
    <w:rsid w:val="77FB0C57"/>
    <w:rsid w:val="77FDDDDC"/>
    <w:rsid w:val="77FEE3AA"/>
    <w:rsid w:val="77FF4323"/>
    <w:rsid w:val="783307AC"/>
    <w:rsid w:val="78546436"/>
    <w:rsid w:val="787E73C6"/>
    <w:rsid w:val="78A1563D"/>
    <w:rsid w:val="78BC3788"/>
    <w:rsid w:val="78BD5E9D"/>
    <w:rsid w:val="78C14521"/>
    <w:rsid w:val="78EB417D"/>
    <w:rsid w:val="797BEA60"/>
    <w:rsid w:val="797E2BD2"/>
    <w:rsid w:val="79867C57"/>
    <w:rsid w:val="79EF1B73"/>
    <w:rsid w:val="79F1B02A"/>
    <w:rsid w:val="7A1C2E21"/>
    <w:rsid w:val="7A42E6D1"/>
    <w:rsid w:val="7AA382DD"/>
    <w:rsid w:val="7AAC0A8A"/>
    <w:rsid w:val="7AD5AC34"/>
    <w:rsid w:val="7AE37E4D"/>
    <w:rsid w:val="7AFFA327"/>
    <w:rsid w:val="7B086A09"/>
    <w:rsid w:val="7B13B1F1"/>
    <w:rsid w:val="7B3DF376"/>
    <w:rsid w:val="7B69A29C"/>
    <w:rsid w:val="7B6B79B9"/>
    <w:rsid w:val="7B7421E6"/>
    <w:rsid w:val="7B7F5E7F"/>
    <w:rsid w:val="7B7F7A23"/>
    <w:rsid w:val="7B7FA924"/>
    <w:rsid w:val="7BBA5CCB"/>
    <w:rsid w:val="7BBE32D2"/>
    <w:rsid w:val="7BBF23D9"/>
    <w:rsid w:val="7BCE7487"/>
    <w:rsid w:val="7BD45579"/>
    <w:rsid w:val="7BD75EF1"/>
    <w:rsid w:val="7BE91229"/>
    <w:rsid w:val="7BEAA24D"/>
    <w:rsid w:val="7BFE6796"/>
    <w:rsid w:val="7BFF4073"/>
    <w:rsid w:val="7BFF9B7B"/>
    <w:rsid w:val="7BFFE02C"/>
    <w:rsid w:val="7C5C0EAE"/>
    <w:rsid w:val="7C7F2174"/>
    <w:rsid w:val="7CBF139C"/>
    <w:rsid w:val="7CCF6C0E"/>
    <w:rsid w:val="7CF62A08"/>
    <w:rsid w:val="7D1C0A97"/>
    <w:rsid w:val="7D327855"/>
    <w:rsid w:val="7D523CE0"/>
    <w:rsid w:val="7D7D325A"/>
    <w:rsid w:val="7D812C8F"/>
    <w:rsid w:val="7DB60501"/>
    <w:rsid w:val="7DB7F5AE"/>
    <w:rsid w:val="7DBDFFD9"/>
    <w:rsid w:val="7DBFC66D"/>
    <w:rsid w:val="7DCD0AC2"/>
    <w:rsid w:val="7DDE0B07"/>
    <w:rsid w:val="7DDF7DA7"/>
    <w:rsid w:val="7DEFB04E"/>
    <w:rsid w:val="7DF28ACC"/>
    <w:rsid w:val="7DF637C7"/>
    <w:rsid w:val="7DFD0A3B"/>
    <w:rsid w:val="7DFF72AA"/>
    <w:rsid w:val="7DFF90E1"/>
    <w:rsid w:val="7E0C9CCB"/>
    <w:rsid w:val="7E1BE949"/>
    <w:rsid w:val="7E3268A4"/>
    <w:rsid w:val="7E4A2C40"/>
    <w:rsid w:val="7EAF0AF6"/>
    <w:rsid w:val="7ECE8C5D"/>
    <w:rsid w:val="7EED5514"/>
    <w:rsid w:val="7EFF42A9"/>
    <w:rsid w:val="7EFF8BEB"/>
    <w:rsid w:val="7F177CBF"/>
    <w:rsid w:val="7F26D104"/>
    <w:rsid w:val="7F2F99EC"/>
    <w:rsid w:val="7F57296B"/>
    <w:rsid w:val="7F6790CF"/>
    <w:rsid w:val="7F6C279D"/>
    <w:rsid w:val="7F7E6B7B"/>
    <w:rsid w:val="7F7F0B87"/>
    <w:rsid w:val="7F7F6614"/>
    <w:rsid w:val="7F9349C0"/>
    <w:rsid w:val="7FA62B6E"/>
    <w:rsid w:val="7FB30E40"/>
    <w:rsid w:val="7FB62DB8"/>
    <w:rsid w:val="7FB7EC09"/>
    <w:rsid w:val="7FBBC3FD"/>
    <w:rsid w:val="7FC5AB63"/>
    <w:rsid w:val="7FC60DB4"/>
    <w:rsid w:val="7FCB0853"/>
    <w:rsid w:val="7FCBB3E2"/>
    <w:rsid w:val="7FD711E2"/>
    <w:rsid w:val="7FD7BF1F"/>
    <w:rsid w:val="7FDB6A23"/>
    <w:rsid w:val="7FDEECAF"/>
    <w:rsid w:val="7FDFAFD3"/>
    <w:rsid w:val="7FE73399"/>
    <w:rsid w:val="7FE96304"/>
    <w:rsid w:val="7FEA7032"/>
    <w:rsid w:val="7FEDA3E5"/>
    <w:rsid w:val="7FEE01A2"/>
    <w:rsid w:val="7FEF522C"/>
    <w:rsid w:val="7FF1C12B"/>
    <w:rsid w:val="7FF49E6A"/>
    <w:rsid w:val="7FF54F49"/>
    <w:rsid w:val="7FF9200C"/>
    <w:rsid w:val="7FFB5378"/>
    <w:rsid w:val="7FFB8915"/>
    <w:rsid w:val="7FFBC5E6"/>
    <w:rsid w:val="7FFD2D89"/>
    <w:rsid w:val="7FFF05C9"/>
    <w:rsid w:val="7FFF7483"/>
    <w:rsid w:val="7FFFA899"/>
    <w:rsid w:val="7FFFB8DA"/>
    <w:rsid w:val="83F701EF"/>
    <w:rsid w:val="89CC43F6"/>
    <w:rsid w:val="8BB859EA"/>
    <w:rsid w:val="8BFFE250"/>
    <w:rsid w:val="8E2F5F3A"/>
    <w:rsid w:val="955B24E3"/>
    <w:rsid w:val="96FA4184"/>
    <w:rsid w:val="97BD9905"/>
    <w:rsid w:val="97FD17D1"/>
    <w:rsid w:val="9AFD3691"/>
    <w:rsid w:val="9E3FC9BB"/>
    <w:rsid w:val="9EEC0B2E"/>
    <w:rsid w:val="9EEFCE8E"/>
    <w:rsid w:val="9F5FA81F"/>
    <w:rsid w:val="9F7FB283"/>
    <w:rsid w:val="9F8D0864"/>
    <w:rsid w:val="9FDBDA51"/>
    <w:rsid w:val="A97BE722"/>
    <w:rsid w:val="AAF7002D"/>
    <w:rsid w:val="AAFD101F"/>
    <w:rsid w:val="AB5DA782"/>
    <w:rsid w:val="AE6F3BCF"/>
    <w:rsid w:val="AEAD3AD5"/>
    <w:rsid w:val="AEFE352F"/>
    <w:rsid w:val="AFD37C85"/>
    <w:rsid w:val="AFDF7077"/>
    <w:rsid w:val="B1FE0446"/>
    <w:rsid w:val="B5EF4E9E"/>
    <w:rsid w:val="B5FB8B50"/>
    <w:rsid w:val="B6F721D9"/>
    <w:rsid w:val="B6FF7725"/>
    <w:rsid w:val="B7797E05"/>
    <w:rsid w:val="B8DF78A0"/>
    <w:rsid w:val="B97FD255"/>
    <w:rsid w:val="BA7B23C6"/>
    <w:rsid w:val="BABF44AC"/>
    <w:rsid w:val="BAFF3C20"/>
    <w:rsid w:val="BBF69F51"/>
    <w:rsid w:val="BBFF9A7B"/>
    <w:rsid w:val="BC7D1E9E"/>
    <w:rsid w:val="BCFFC3EC"/>
    <w:rsid w:val="BD9D5930"/>
    <w:rsid w:val="BDB9524E"/>
    <w:rsid w:val="BDFB7F16"/>
    <w:rsid w:val="BDFF1A40"/>
    <w:rsid w:val="BDFF8623"/>
    <w:rsid w:val="BDFFF768"/>
    <w:rsid w:val="BE64A75A"/>
    <w:rsid w:val="BEBE9D9F"/>
    <w:rsid w:val="BEFE38CD"/>
    <w:rsid w:val="BEFE72DA"/>
    <w:rsid w:val="BEFF6625"/>
    <w:rsid w:val="BF733B91"/>
    <w:rsid w:val="BF7B6E5C"/>
    <w:rsid w:val="BF7EC61E"/>
    <w:rsid w:val="BFBF565B"/>
    <w:rsid w:val="BFCEFA3F"/>
    <w:rsid w:val="BFDC7B9E"/>
    <w:rsid w:val="BFDFADCF"/>
    <w:rsid w:val="BFE63641"/>
    <w:rsid w:val="BFF24488"/>
    <w:rsid w:val="BFFB0508"/>
    <w:rsid w:val="BFFF326E"/>
    <w:rsid w:val="BFFF91E9"/>
    <w:rsid w:val="C5F56967"/>
    <w:rsid w:val="CB6D86FC"/>
    <w:rsid w:val="CBAF4796"/>
    <w:rsid w:val="CBEFE81E"/>
    <w:rsid w:val="CCCFB5DD"/>
    <w:rsid w:val="CD7348F1"/>
    <w:rsid w:val="CDCC1B6B"/>
    <w:rsid w:val="CE9B0641"/>
    <w:rsid w:val="CEBF00BA"/>
    <w:rsid w:val="CF7F0C40"/>
    <w:rsid w:val="CF9B3139"/>
    <w:rsid w:val="CFFA6510"/>
    <w:rsid w:val="CFFDC662"/>
    <w:rsid w:val="CFFF2888"/>
    <w:rsid w:val="CFFF2F7B"/>
    <w:rsid w:val="CFFF7C18"/>
    <w:rsid w:val="D13D74F1"/>
    <w:rsid w:val="D15B013A"/>
    <w:rsid w:val="D1E685FE"/>
    <w:rsid w:val="D1ECD592"/>
    <w:rsid w:val="D1FF8862"/>
    <w:rsid w:val="D2FFC903"/>
    <w:rsid w:val="D3BE09C8"/>
    <w:rsid w:val="D5CFC09F"/>
    <w:rsid w:val="D65F1F00"/>
    <w:rsid w:val="D67D0F8B"/>
    <w:rsid w:val="D6C622B2"/>
    <w:rsid w:val="D7962062"/>
    <w:rsid w:val="D7AF9DFC"/>
    <w:rsid w:val="D7FBDF14"/>
    <w:rsid w:val="D8CBB4C0"/>
    <w:rsid w:val="D9679E73"/>
    <w:rsid w:val="D96B06FC"/>
    <w:rsid w:val="DA4FA5BF"/>
    <w:rsid w:val="DB73F6FD"/>
    <w:rsid w:val="DB7B3AAE"/>
    <w:rsid w:val="DB9F3334"/>
    <w:rsid w:val="DBAE3DBF"/>
    <w:rsid w:val="DBBC68E7"/>
    <w:rsid w:val="DBBFCACE"/>
    <w:rsid w:val="DBC33D76"/>
    <w:rsid w:val="DBDF0806"/>
    <w:rsid w:val="DBFE26DA"/>
    <w:rsid w:val="DBFEB8D3"/>
    <w:rsid w:val="DC7B81B5"/>
    <w:rsid w:val="DCAF4423"/>
    <w:rsid w:val="DCFDBD1E"/>
    <w:rsid w:val="DD6BAFCB"/>
    <w:rsid w:val="DDF3A2D4"/>
    <w:rsid w:val="DE7CD12D"/>
    <w:rsid w:val="DEE4B828"/>
    <w:rsid w:val="DEED7ACB"/>
    <w:rsid w:val="DEFBC7B0"/>
    <w:rsid w:val="DF7ADC6C"/>
    <w:rsid w:val="DF7D687F"/>
    <w:rsid w:val="DFD73201"/>
    <w:rsid w:val="DFEE92F5"/>
    <w:rsid w:val="DFF37A5D"/>
    <w:rsid w:val="DFFB0EDA"/>
    <w:rsid w:val="DFFBB54B"/>
    <w:rsid w:val="DFFBDCAD"/>
    <w:rsid w:val="DFFDA2FB"/>
    <w:rsid w:val="DFFFD639"/>
    <w:rsid w:val="E0DF951E"/>
    <w:rsid w:val="E23FC95C"/>
    <w:rsid w:val="E3E7B690"/>
    <w:rsid w:val="E46F1F92"/>
    <w:rsid w:val="E57F84FD"/>
    <w:rsid w:val="E6DF3A34"/>
    <w:rsid w:val="E7275B79"/>
    <w:rsid w:val="E72A5C43"/>
    <w:rsid w:val="E77F6B2E"/>
    <w:rsid w:val="E7963103"/>
    <w:rsid w:val="E7A71C4A"/>
    <w:rsid w:val="E7CB22D2"/>
    <w:rsid w:val="E7FA1558"/>
    <w:rsid w:val="E7FFFE98"/>
    <w:rsid w:val="EA87D177"/>
    <w:rsid w:val="EAEE0ADB"/>
    <w:rsid w:val="EB7A5B30"/>
    <w:rsid w:val="EB7ED6DE"/>
    <w:rsid w:val="EBB7290C"/>
    <w:rsid w:val="EBF7C8DC"/>
    <w:rsid w:val="EBFE4157"/>
    <w:rsid w:val="EBFF56F7"/>
    <w:rsid w:val="ECC3A484"/>
    <w:rsid w:val="ED4BD214"/>
    <w:rsid w:val="ED690E29"/>
    <w:rsid w:val="EDFA5D3D"/>
    <w:rsid w:val="EDFA72CA"/>
    <w:rsid w:val="EDFD8979"/>
    <w:rsid w:val="EEB52D6E"/>
    <w:rsid w:val="EEF68DFB"/>
    <w:rsid w:val="EEF7746C"/>
    <w:rsid w:val="EEFDFF16"/>
    <w:rsid w:val="EF7F4D8D"/>
    <w:rsid w:val="EF7FC6DC"/>
    <w:rsid w:val="EF7FEEA0"/>
    <w:rsid w:val="EF8FF8D8"/>
    <w:rsid w:val="EF9E5728"/>
    <w:rsid w:val="EFB7C348"/>
    <w:rsid w:val="EFBE5EA1"/>
    <w:rsid w:val="EFBE7EB5"/>
    <w:rsid w:val="EFD76A76"/>
    <w:rsid w:val="EFD797BE"/>
    <w:rsid w:val="EFDFEB80"/>
    <w:rsid w:val="EFE968BE"/>
    <w:rsid w:val="EFF17486"/>
    <w:rsid w:val="EFF9576D"/>
    <w:rsid w:val="EFFE5655"/>
    <w:rsid w:val="EFFEF906"/>
    <w:rsid w:val="F2A9DB8C"/>
    <w:rsid w:val="F2EE1299"/>
    <w:rsid w:val="F2FAE1CE"/>
    <w:rsid w:val="F2FBD014"/>
    <w:rsid w:val="F39BCE55"/>
    <w:rsid w:val="F3DB1778"/>
    <w:rsid w:val="F3F526B9"/>
    <w:rsid w:val="F3F994D0"/>
    <w:rsid w:val="F3FEE0A9"/>
    <w:rsid w:val="F4506E43"/>
    <w:rsid w:val="F4DDC7CE"/>
    <w:rsid w:val="F4FDFF7A"/>
    <w:rsid w:val="F53FEB78"/>
    <w:rsid w:val="F5EFC5DA"/>
    <w:rsid w:val="F5F744DD"/>
    <w:rsid w:val="F5F7933D"/>
    <w:rsid w:val="F6F30D36"/>
    <w:rsid w:val="F6FBC66D"/>
    <w:rsid w:val="F73744C7"/>
    <w:rsid w:val="F76FE8AA"/>
    <w:rsid w:val="F77DB007"/>
    <w:rsid w:val="F7B4E7EF"/>
    <w:rsid w:val="F7F6A9B8"/>
    <w:rsid w:val="F7F7A41B"/>
    <w:rsid w:val="F7FE4F8E"/>
    <w:rsid w:val="F8FC781D"/>
    <w:rsid w:val="F8FD3481"/>
    <w:rsid w:val="F93F70FE"/>
    <w:rsid w:val="F97E40B7"/>
    <w:rsid w:val="F9BDC9C1"/>
    <w:rsid w:val="F9D14EF8"/>
    <w:rsid w:val="F9E3EB77"/>
    <w:rsid w:val="F9FFB91F"/>
    <w:rsid w:val="FA5725F8"/>
    <w:rsid w:val="FAEDFF75"/>
    <w:rsid w:val="FB7B0324"/>
    <w:rsid w:val="FB7C1734"/>
    <w:rsid w:val="FBBFB377"/>
    <w:rsid w:val="FBD90B93"/>
    <w:rsid w:val="FBEB4499"/>
    <w:rsid w:val="FBF58FA2"/>
    <w:rsid w:val="FBF6278B"/>
    <w:rsid w:val="FC998EE7"/>
    <w:rsid w:val="FD397167"/>
    <w:rsid w:val="FD3D23E4"/>
    <w:rsid w:val="FD5FD26A"/>
    <w:rsid w:val="FD7D5159"/>
    <w:rsid w:val="FD7F490A"/>
    <w:rsid w:val="FD875FBB"/>
    <w:rsid w:val="FD9577A4"/>
    <w:rsid w:val="FD9F5953"/>
    <w:rsid w:val="FD9FB628"/>
    <w:rsid w:val="FDB7A42D"/>
    <w:rsid w:val="FDBEE415"/>
    <w:rsid w:val="FDBF5BA2"/>
    <w:rsid w:val="FDDFDB53"/>
    <w:rsid w:val="FDE71836"/>
    <w:rsid w:val="FDF50ABB"/>
    <w:rsid w:val="FDF7F3E5"/>
    <w:rsid w:val="FDFD241F"/>
    <w:rsid w:val="FDFD617E"/>
    <w:rsid w:val="FDFE03F9"/>
    <w:rsid w:val="FDFF383A"/>
    <w:rsid w:val="FDFF6492"/>
    <w:rsid w:val="FDFF8732"/>
    <w:rsid w:val="FE06B6F9"/>
    <w:rsid w:val="FE5FB166"/>
    <w:rsid w:val="FE655F4F"/>
    <w:rsid w:val="FE7D9F9B"/>
    <w:rsid w:val="FE9F8222"/>
    <w:rsid w:val="FEB52612"/>
    <w:rsid w:val="FEC37F18"/>
    <w:rsid w:val="FEDFCF10"/>
    <w:rsid w:val="FEF3E463"/>
    <w:rsid w:val="FEF73A98"/>
    <w:rsid w:val="FEF73CD5"/>
    <w:rsid w:val="FEF77D8F"/>
    <w:rsid w:val="FEFD1C04"/>
    <w:rsid w:val="FEFDDBC2"/>
    <w:rsid w:val="FEFEB273"/>
    <w:rsid w:val="FEFF44BE"/>
    <w:rsid w:val="FEFFF744"/>
    <w:rsid w:val="FF133CBA"/>
    <w:rsid w:val="FF333C9F"/>
    <w:rsid w:val="FF65EE6F"/>
    <w:rsid w:val="FF7BC164"/>
    <w:rsid w:val="FF7EB7B7"/>
    <w:rsid w:val="FF7F17D2"/>
    <w:rsid w:val="FF7FF138"/>
    <w:rsid w:val="FF87D3B9"/>
    <w:rsid w:val="FF8FBB4F"/>
    <w:rsid w:val="FF93450C"/>
    <w:rsid w:val="FF9BF6CC"/>
    <w:rsid w:val="FF9F7C25"/>
    <w:rsid w:val="FFA4B235"/>
    <w:rsid w:val="FFA71EC5"/>
    <w:rsid w:val="FFAF1519"/>
    <w:rsid w:val="FFBC9DA5"/>
    <w:rsid w:val="FFBDADE2"/>
    <w:rsid w:val="FFBE1EFD"/>
    <w:rsid w:val="FFBEBC1C"/>
    <w:rsid w:val="FFBF78DB"/>
    <w:rsid w:val="FFCFA3EB"/>
    <w:rsid w:val="FFD71A57"/>
    <w:rsid w:val="FFDBF19D"/>
    <w:rsid w:val="FFDF0DE3"/>
    <w:rsid w:val="FFE6DF98"/>
    <w:rsid w:val="FFE7192D"/>
    <w:rsid w:val="FFEB7A66"/>
    <w:rsid w:val="FFEF29A3"/>
    <w:rsid w:val="FFF393D2"/>
    <w:rsid w:val="FFF6F95A"/>
    <w:rsid w:val="FFF74596"/>
    <w:rsid w:val="FFF9C284"/>
    <w:rsid w:val="FFFB07FE"/>
    <w:rsid w:val="FFFBF95E"/>
    <w:rsid w:val="FFFC23BE"/>
    <w:rsid w:val="FFFCD808"/>
    <w:rsid w:val="FFFD1A6E"/>
    <w:rsid w:val="FFFD9EEC"/>
    <w:rsid w:val="FFFEA8A2"/>
    <w:rsid w:val="FFFFD4F2"/>
    <w:rsid w:val="FFFFE960"/>
    <w:rsid w:val="FFFFF9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1"/>
      <w:sz w:val="21"/>
      <w:szCs w:val="22"/>
      <w:lang w:val="en-US" w:eastAsia="zh-CN" w:bidi="ar-SA"/>
    </w:rPr>
  </w:style>
  <w:style w:type="paragraph" w:styleId="4">
    <w:name w:val="heading 1"/>
    <w:basedOn w:val="1"/>
    <w:next w:val="1"/>
    <w:qFormat/>
    <w:uiPriority w:val="9"/>
    <w:pPr>
      <w:widowControl/>
      <w:spacing w:beforeAutospacing="1" w:afterAutospacing="1" w:line="560" w:lineRule="exact"/>
      <w:jc w:val="center"/>
      <w:outlineLvl w:val="0"/>
    </w:pPr>
    <w:rPr>
      <w:rFonts w:ascii="宋体" w:hAnsi="宋体" w:eastAsia="方正小标宋简体" w:cs="宋体"/>
      <w:bCs/>
      <w:sz w:val="44"/>
      <w:szCs w:val="48"/>
    </w:rPr>
  </w:style>
  <w:style w:type="paragraph" w:styleId="5">
    <w:name w:val="heading 2"/>
    <w:basedOn w:val="1"/>
    <w:next w:val="1"/>
    <w:qFormat/>
    <w:uiPriority w:val="0"/>
    <w:pPr>
      <w:keepNext/>
      <w:keepLines/>
      <w:spacing w:before="260" w:after="260" w:line="415" w:lineRule="auto"/>
      <w:outlineLvl w:val="1"/>
    </w:pPr>
    <w:rPr>
      <w:rFonts w:ascii="Cambria" w:hAnsi="Cambria" w:eastAsia="Cambria"/>
      <w:b/>
      <w:bCs/>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Plain Text"/>
    <w:basedOn w:val="1"/>
    <w:next w:val="3"/>
    <w:qFormat/>
    <w:uiPriority w:val="99"/>
    <w:rPr>
      <w:rFonts w:ascii="宋体" w:hAnsi="Courier New" w:cs="宋体"/>
    </w:rPr>
  </w:style>
  <w:style w:type="paragraph" w:styleId="3">
    <w:name w:val="index 8"/>
    <w:basedOn w:val="1"/>
    <w:next w:val="1"/>
    <w:qFormat/>
    <w:uiPriority w:val="0"/>
    <w:pPr>
      <w:ind w:left="2940"/>
    </w:pPr>
    <w:rPr>
      <w:rFonts w:ascii="Times New Roman" w:hAnsi="Times New Roman" w:eastAsia="宋体" w:cs="Times New Roman"/>
    </w:rPr>
  </w:style>
  <w:style w:type="paragraph" w:styleId="6">
    <w:name w:val="Normal Indent"/>
    <w:next w:val="7"/>
    <w:unhideWhenUsed/>
    <w:qFormat/>
    <w:uiPriority w:val="99"/>
    <w:pPr>
      <w:widowControl w:val="0"/>
      <w:ind w:firstLine="420" w:firstLineChars="200"/>
      <w:jc w:val="both"/>
    </w:pPr>
    <w:rPr>
      <w:rFonts w:ascii="Calibri" w:hAnsi="Calibri" w:eastAsia="宋体" w:cs="Times New Roman"/>
      <w:kern w:val="1"/>
      <w:sz w:val="21"/>
      <w:szCs w:val="22"/>
      <w:lang w:val="en-US" w:eastAsia="zh-CN" w:bidi="ar-SA"/>
    </w:rPr>
  </w:style>
  <w:style w:type="paragraph" w:styleId="7">
    <w:name w:val="Body Text"/>
    <w:basedOn w:val="1"/>
    <w:next w:val="1"/>
    <w:link w:val="27"/>
    <w:qFormat/>
    <w:uiPriority w:val="1"/>
    <w:pPr>
      <w:ind w:left="398"/>
    </w:pPr>
    <w:rPr>
      <w:rFonts w:ascii="宋体" w:hAnsi="宋体" w:cs="宋体"/>
      <w:sz w:val="28"/>
      <w:szCs w:val="28"/>
      <w:lang w:val="zh-CN" w:bidi="zh-CN"/>
    </w:rPr>
  </w:style>
  <w:style w:type="paragraph" w:styleId="8">
    <w:name w:val="Date"/>
    <w:basedOn w:val="9"/>
    <w:next w:val="9"/>
    <w:qFormat/>
    <w:uiPriority w:val="0"/>
    <w:pPr>
      <w:tabs>
        <w:tab w:val="center" w:pos="4153"/>
        <w:tab w:val="right" w:pos="8306"/>
      </w:tabs>
      <w:ind w:left="100"/>
    </w:pPr>
  </w:style>
  <w:style w:type="paragraph" w:styleId="9">
    <w:name w:val="Balloon Text"/>
    <w:basedOn w:val="10"/>
    <w:qFormat/>
    <w:uiPriority w:val="0"/>
    <w:pPr>
      <w:tabs>
        <w:tab w:val="center" w:pos="4153"/>
        <w:tab w:val="right" w:pos="8306"/>
      </w:tabs>
    </w:pPr>
  </w:style>
  <w:style w:type="paragraph" w:customStyle="1" w:styleId="10">
    <w:name w:val="List Paragraph"/>
    <w:basedOn w:val="1"/>
    <w:qFormat/>
    <w:uiPriority w:val="0"/>
    <w:pPr>
      <w:tabs>
        <w:tab w:val="center" w:pos="4153"/>
        <w:tab w:val="right" w:pos="8306"/>
      </w:tabs>
      <w:ind w:firstLine="420"/>
    </w:pPr>
  </w:style>
  <w:style w:type="paragraph" w:styleId="11">
    <w:name w:val="endnote text"/>
    <w:basedOn w:val="1"/>
    <w:unhideWhenUsed/>
    <w:qFormat/>
    <w:uiPriority w:val="99"/>
    <w:pPr>
      <w:snapToGrid w:val="0"/>
      <w:jc w:val="left"/>
    </w:pPr>
    <w:rPr>
      <w:rFonts w:eastAsia="DFKai-SB"/>
      <w:sz w:val="24"/>
    </w:rPr>
  </w:style>
  <w:style w:type="paragraph" w:styleId="12">
    <w:name w:val="footer"/>
    <w:basedOn w:val="1"/>
    <w:link w:val="28"/>
    <w:unhideWhenUsed/>
    <w:qFormat/>
    <w:uiPriority w:val="99"/>
    <w:pPr>
      <w:tabs>
        <w:tab w:val="center" w:pos="4153"/>
        <w:tab w:val="right" w:pos="8306"/>
      </w:tabs>
      <w:snapToGrid w:val="0"/>
      <w:jc w:val="left"/>
    </w:pPr>
    <w:rPr>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unhideWhenUsed/>
    <w:qFormat/>
    <w:uiPriority w:val="99"/>
    <w:pPr>
      <w:snapToGrid w:val="0"/>
      <w:jc w:val="left"/>
    </w:pPr>
    <w:rPr>
      <w:sz w:val="18"/>
    </w:rPr>
  </w:style>
  <w:style w:type="paragraph" w:styleId="1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6">
    <w:name w:val="Normal (Web)"/>
    <w:basedOn w:val="1"/>
    <w:qFormat/>
    <w:uiPriority w:val="0"/>
    <w:pPr>
      <w:widowControl/>
      <w:tabs>
        <w:tab w:val="center" w:pos="4153"/>
        <w:tab w:val="right" w:pos="8306"/>
      </w:tabs>
      <w:spacing w:before="100" w:beforeAutospacing="1" w:after="100" w:afterAutospacing="1"/>
    </w:pPr>
    <w:rPr>
      <w:rFonts w:ascii="宋体" w:hAnsi="宋体" w:cs="宋体"/>
      <w:sz w:val="24"/>
      <w:szCs w:val="24"/>
    </w:rPr>
  </w:style>
  <w:style w:type="paragraph" w:styleId="17">
    <w:name w:val="Title"/>
    <w:next w:val="1"/>
    <w:qFormat/>
    <w:uiPriority w:val="10"/>
    <w:pPr>
      <w:widowControl w:val="0"/>
      <w:spacing w:before="240" w:after="60"/>
      <w:jc w:val="center"/>
      <w:outlineLvl w:val="0"/>
    </w:pPr>
    <w:rPr>
      <w:rFonts w:ascii="Cambria" w:hAnsi="Cambria" w:eastAsia="宋体" w:cs="Times New Roman"/>
      <w:b/>
      <w:bCs/>
      <w:kern w:val="2"/>
      <w:sz w:val="21"/>
      <w:szCs w:val="24"/>
      <w:lang w:val="en-US" w:eastAsia="zh-CN" w:bidi="ar-SA"/>
    </w:rPr>
  </w:style>
  <w:style w:type="table" w:styleId="19">
    <w:name w:val="Table Grid"/>
    <w:basedOn w:val="1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endnote reference"/>
    <w:unhideWhenUsed/>
    <w:qFormat/>
    <w:uiPriority w:val="99"/>
    <w:rPr>
      <w:vertAlign w:val="superscript"/>
    </w:rPr>
  </w:style>
  <w:style w:type="character" w:styleId="23">
    <w:name w:val="page number"/>
    <w:basedOn w:val="20"/>
    <w:semiHidden/>
    <w:qFormat/>
    <w:uiPriority w:val="0"/>
  </w:style>
  <w:style w:type="character" w:styleId="24">
    <w:name w:val="Emphasis"/>
    <w:basedOn w:val="25"/>
    <w:qFormat/>
    <w:uiPriority w:val="20"/>
    <w:rPr>
      <w:i/>
      <w:iCs/>
      <w:color w:val="0000FF"/>
      <w:u w:val="single"/>
    </w:rPr>
  </w:style>
  <w:style w:type="character" w:styleId="25">
    <w:name w:val="Hyperlink"/>
    <w:basedOn w:val="21"/>
    <w:qFormat/>
    <w:uiPriority w:val="0"/>
    <w:rPr>
      <w:color w:val="0000FF"/>
      <w:u w:val="single"/>
    </w:rPr>
  </w:style>
  <w:style w:type="character" w:styleId="26">
    <w:name w:val="footnote reference"/>
    <w:basedOn w:val="20"/>
    <w:unhideWhenUsed/>
    <w:qFormat/>
    <w:uiPriority w:val="99"/>
    <w:rPr>
      <w:vertAlign w:val="superscript"/>
    </w:rPr>
  </w:style>
  <w:style w:type="character" w:customStyle="1" w:styleId="27">
    <w:name w:val="正文文本 Char"/>
    <w:basedOn w:val="20"/>
    <w:link w:val="7"/>
    <w:qFormat/>
    <w:uiPriority w:val="1"/>
    <w:rPr>
      <w:rFonts w:ascii="宋体" w:hAnsi="宋体" w:cs="宋体"/>
      <w:kern w:val="1"/>
      <w:sz w:val="28"/>
      <w:szCs w:val="28"/>
      <w:lang w:val="zh-CN" w:bidi="zh-CN"/>
    </w:rPr>
  </w:style>
  <w:style w:type="character" w:customStyle="1" w:styleId="28">
    <w:name w:val="页脚 Char1"/>
    <w:basedOn w:val="20"/>
    <w:link w:val="12"/>
    <w:qFormat/>
    <w:uiPriority w:val="99"/>
    <w:rPr>
      <w:sz w:val="18"/>
      <w:szCs w:val="18"/>
    </w:rPr>
  </w:style>
  <w:style w:type="character" w:customStyle="1" w:styleId="29">
    <w:name w:val="页眉 Char1"/>
    <w:basedOn w:val="20"/>
    <w:link w:val="13"/>
    <w:qFormat/>
    <w:uiPriority w:val="99"/>
    <w:rPr>
      <w:sz w:val="18"/>
      <w:szCs w:val="18"/>
    </w:rPr>
  </w:style>
  <w:style w:type="paragraph" w:customStyle="1" w:styleId="30">
    <w:name w:val="页脚1"/>
    <w:basedOn w:val="31"/>
    <w:qFormat/>
    <w:uiPriority w:val="0"/>
    <w:pPr>
      <w:tabs>
        <w:tab w:val="center" w:pos="4153"/>
        <w:tab w:val="right" w:pos="8306"/>
      </w:tabs>
      <w:jc w:val="left"/>
    </w:pPr>
  </w:style>
  <w:style w:type="paragraph" w:customStyle="1" w:styleId="31">
    <w:name w:val="页眉1"/>
    <w:basedOn w:val="1"/>
    <w:qFormat/>
    <w:uiPriority w:val="0"/>
    <w:pPr>
      <w:pBdr>
        <w:top w:val="none" w:color="000000" w:sz="0" w:space="3"/>
        <w:left w:val="none" w:color="000000" w:sz="0" w:space="3"/>
        <w:bottom w:val="single" w:color="000000" w:sz="6" w:space="1"/>
        <w:right w:val="none" w:color="000000" w:sz="0" w:space="3"/>
        <w:between w:val="none" w:color="000000" w:sz="0" w:space="0"/>
      </w:pBdr>
      <w:tabs>
        <w:tab w:val="center" w:pos="4153"/>
        <w:tab w:val="right" w:pos="8306"/>
      </w:tabs>
      <w:jc w:val="center"/>
    </w:pPr>
    <w:rPr>
      <w:sz w:val="18"/>
      <w:szCs w:val="18"/>
    </w:rPr>
  </w:style>
  <w:style w:type="character" w:customStyle="1" w:styleId="32">
    <w:name w:val="页脚 Char"/>
    <w:basedOn w:val="20"/>
    <w:qFormat/>
    <w:uiPriority w:val="99"/>
    <w:rPr>
      <w:sz w:val="18"/>
      <w:szCs w:val="18"/>
    </w:rPr>
  </w:style>
  <w:style w:type="character" w:customStyle="1" w:styleId="33">
    <w:name w:val="NormalCharacter"/>
    <w:qFormat/>
    <w:uiPriority w:val="0"/>
    <w:rPr>
      <w:kern w:val="2"/>
      <w:sz w:val="21"/>
      <w:szCs w:val="22"/>
      <w:lang w:val="en-US" w:eastAsia="zh-CN" w:bidi="ar-SA"/>
    </w:rPr>
  </w:style>
  <w:style w:type="character" w:customStyle="1" w:styleId="34">
    <w:name w:val="标题 1 Char"/>
    <w:basedOn w:val="20"/>
    <w:qFormat/>
    <w:uiPriority w:val="9"/>
    <w:rPr>
      <w:rFonts w:ascii="宋体" w:hAnsi="宋体" w:eastAsia="宋体" w:cs="宋体"/>
      <w:b/>
      <w:bCs/>
      <w:kern w:val="1"/>
      <w:sz w:val="48"/>
      <w:szCs w:val="48"/>
    </w:rPr>
  </w:style>
  <w:style w:type="character" w:customStyle="1" w:styleId="35">
    <w:name w:val="未处理的提及1"/>
    <w:basedOn w:val="20"/>
    <w:unhideWhenUsed/>
    <w:qFormat/>
    <w:uiPriority w:val="99"/>
    <w:rPr>
      <w:color w:val="605E5C"/>
      <w:shd w:val="clear" w:color="auto" w:fill="E1DFDD"/>
    </w:rPr>
  </w:style>
  <w:style w:type="character" w:customStyle="1" w:styleId="36">
    <w:name w:val="标题 2 Char"/>
    <w:basedOn w:val="25"/>
    <w:qFormat/>
    <w:uiPriority w:val="0"/>
    <w:rPr>
      <w:rFonts w:ascii="Cambria" w:hAnsi="Cambria" w:eastAsia="Cambria"/>
      <w:color w:val="0000FF"/>
      <w:sz w:val="32"/>
      <w:szCs w:val="32"/>
      <w:u w:val="single"/>
    </w:rPr>
  </w:style>
  <w:style w:type="character" w:customStyle="1" w:styleId="37">
    <w:name w:val="apple-converted-space"/>
    <w:basedOn w:val="25"/>
    <w:qFormat/>
    <w:uiPriority w:val="0"/>
    <w:rPr>
      <w:color w:val="0000FF"/>
      <w:u w:val="single"/>
    </w:rPr>
  </w:style>
  <w:style w:type="character" w:customStyle="1" w:styleId="38">
    <w:name w:val="批注框文本 Char"/>
    <w:basedOn w:val="25"/>
    <w:qFormat/>
    <w:uiPriority w:val="0"/>
    <w:rPr>
      <w:color w:val="0000FF"/>
      <w:sz w:val="18"/>
      <w:szCs w:val="18"/>
      <w:u w:val="single"/>
    </w:rPr>
  </w:style>
  <w:style w:type="character" w:customStyle="1" w:styleId="39">
    <w:name w:val="s2"/>
    <w:basedOn w:val="25"/>
    <w:qFormat/>
    <w:uiPriority w:val="0"/>
    <w:rPr>
      <w:color w:val="0000FF"/>
      <w:u w:val="single"/>
    </w:rPr>
  </w:style>
  <w:style w:type="character" w:customStyle="1" w:styleId="40">
    <w:name w:val="页眉 Char"/>
    <w:basedOn w:val="20"/>
    <w:qFormat/>
    <w:uiPriority w:val="0"/>
    <w:rPr>
      <w:sz w:val="18"/>
      <w:szCs w:val="18"/>
    </w:rPr>
  </w:style>
  <w:style w:type="character" w:customStyle="1" w:styleId="41">
    <w:name w:val="日期 Char"/>
    <w:basedOn w:val="25"/>
    <w:qFormat/>
    <w:uiPriority w:val="0"/>
    <w:rPr>
      <w:color w:val="0000FF"/>
      <w:u w:val="single"/>
    </w:rPr>
  </w:style>
  <w:style w:type="character" w:customStyle="1" w:styleId="42">
    <w:name w:val="s1"/>
    <w:basedOn w:val="25"/>
    <w:qFormat/>
    <w:uiPriority w:val="0"/>
    <w:rPr>
      <w:color w:val="0000FF"/>
      <w:u w:val="single"/>
    </w:rPr>
  </w:style>
  <w:style w:type="character" w:customStyle="1" w:styleId="43">
    <w:name w:val="bjh-p"/>
    <w:basedOn w:val="20"/>
    <w:qFormat/>
    <w:uiPriority w:val="0"/>
  </w:style>
  <w:style w:type="paragraph" w:customStyle="1" w:styleId="44">
    <w:name w:val="statement_p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
    <w:name w:val="Default"/>
    <w:qFormat/>
    <w:uiPriority w:val="0"/>
    <w:pPr>
      <w:widowControl w:val="0"/>
    </w:pPr>
    <w:rPr>
      <w:rFonts w:ascii="仿宋_GB2312" w:hAnsi="仿宋_GB2312" w:eastAsia="仿宋_GB2312" w:cs="仿宋_GB2312"/>
      <w:kern w:val="1"/>
      <w:sz w:val="24"/>
      <w:szCs w:val="24"/>
      <w:lang w:val="en-US" w:eastAsia="zh-CN" w:bidi="ar-SA"/>
    </w:rPr>
  </w:style>
  <w:style w:type="paragraph" w:customStyle="1" w:styleId="46">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47">
    <w:name w:val="_Style 36"/>
    <w:basedOn w:val="1"/>
    <w:next w:val="10"/>
    <w:qFormat/>
    <w:uiPriority w:val="34"/>
    <w:pPr>
      <w:ind w:firstLine="420" w:firstLineChars="200"/>
    </w:pPr>
    <w:rPr>
      <w:rFonts w:ascii="Times New Roman" w:hAnsi="Times New Roman"/>
      <w:kern w:val="2"/>
    </w:rPr>
  </w:style>
  <w:style w:type="paragraph" w:customStyle="1" w:styleId="48">
    <w:name w:val="p1"/>
    <w:basedOn w:val="9"/>
    <w:qFormat/>
    <w:uiPriority w:val="0"/>
    <w:pPr>
      <w:widowControl/>
      <w:spacing w:before="100" w:beforeAutospacing="1" w:after="100" w:afterAutospacing="1"/>
    </w:pPr>
    <w:rPr>
      <w:rFonts w:ascii="宋体" w:hAnsi="宋体" w:cs="宋体"/>
      <w:sz w:val="24"/>
      <w:szCs w:val="24"/>
    </w:rPr>
  </w:style>
  <w:style w:type="paragraph" w:customStyle="1" w:styleId="49">
    <w:name w:val="No Spacing"/>
    <w:qFormat/>
    <w:uiPriority w:val="0"/>
    <w:pPr>
      <w:widowControl w:val="0"/>
      <w:jc w:val="both"/>
    </w:pPr>
    <w:rPr>
      <w:rFonts w:ascii="Calibri" w:hAnsi="Calibri" w:eastAsia="宋体" w:cs="Times New Roman"/>
      <w:kern w:val="1"/>
      <w:sz w:val="21"/>
      <w:szCs w:val="22"/>
      <w:lang w:val="en-US" w:eastAsia="zh-CN" w:bidi="ar-SA"/>
    </w:rPr>
  </w:style>
  <w:style w:type="paragraph" w:customStyle="1" w:styleId="50">
    <w:name w:val="p0"/>
    <w:basedOn w:val="1"/>
    <w:qFormat/>
    <w:uiPriority w:val="0"/>
    <w:pPr>
      <w:widowControl/>
    </w:pPr>
    <w:rPr>
      <w:kern w:val="0"/>
      <w:szCs w:val="21"/>
    </w:rPr>
  </w:style>
  <w:style w:type="table" w:customStyle="1" w:styleId="51">
    <w:name w:val="网格型2"/>
    <w:basedOn w:val="18"/>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2">
    <w:name w:val="网格型1"/>
    <w:basedOn w:val="18"/>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18435</Words>
  <Characters>19047</Characters>
  <Lines>9</Lines>
  <Paragraphs>44</Paragraphs>
  <TotalTime>5</TotalTime>
  <ScaleCrop>false</ScaleCrop>
  <LinksUpToDate>false</LinksUpToDate>
  <CharactersWithSpaces>19157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2021-11-13T14:52:00Z</dcterms:created>
  <dc:creator>Administrator</dc:creator>
  <cp:lastModifiedBy>林伟斌</cp:lastModifiedBy>
  <cp:lastPrinted>2022-12-14T12:11:00Z</cp:lastPrinted>
  <dcterms:modified xsi:type="dcterms:W3CDTF">2023-03-14T01:35:04Z</dcterms:modified>
  <dc:title>深圳贸促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A3DF9A413E794BDEA56EA79AFB216AF1</vt:lpwstr>
  </property>
</Properties>
</file>